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FC" w:rsidRPr="0004566C" w:rsidRDefault="00507FFC" w:rsidP="00823ECA">
      <w:pPr>
        <w:autoSpaceDE w:val="0"/>
        <w:autoSpaceDN w:val="0"/>
        <w:adjustRightInd w:val="0"/>
        <w:spacing w:after="0" w:line="240" w:lineRule="auto"/>
        <w:jc w:val="center"/>
        <w:rPr>
          <w:noProof/>
          <w:lang w:eastAsia="it-IT"/>
        </w:rPr>
      </w:pPr>
      <w:bookmarkStart w:id="0" w:name="_GoBack"/>
      <w:bookmarkEnd w:id="0"/>
    </w:p>
    <w:p w:rsidR="00507FFC" w:rsidRPr="0004566C" w:rsidRDefault="00507FFC" w:rsidP="00823ECA">
      <w:pPr>
        <w:autoSpaceDE w:val="0"/>
        <w:autoSpaceDN w:val="0"/>
        <w:adjustRightInd w:val="0"/>
        <w:spacing w:after="0" w:line="240" w:lineRule="auto"/>
        <w:jc w:val="center"/>
        <w:rPr>
          <w:rFonts w:ascii="Times New Roman" w:hAnsi="Times New Roman"/>
          <w:b/>
          <w:sz w:val="36"/>
          <w:szCs w:val="36"/>
          <w:lang w:eastAsia="it-IT"/>
        </w:rPr>
      </w:pPr>
      <w:r w:rsidRPr="0004566C">
        <w:rPr>
          <w:rFonts w:ascii="Times New Roman" w:hAnsi="Times New Roman"/>
          <w:b/>
          <w:sz w:val="36"/>
          <w:szCs w:val="36"/>
          <w:lang w:eastAsia="it-IT"/>
        </w:rPr>
        <w:t xml:space="preserve">COMUNE DI </w:t>
      </w:r>
      <w:r w:rsidR="007D0AD9">
        <w:rPr>
          <w:rFonts w:ascii="Times New Roman" w:hAnsi="Times New Roman"/>
          <w:b/>
          <w:sz w:val="36"/>
          <w:szCs w:val="36"/>
          <w:lang w:eastAsia="it-IT"/>
        </w:rPr>
        <w:t>TRAVACO’ SICCOMARIO</w:t>
      </w:r>
    </w:p>
    <w:p w:rsidR="00507FFC" w:rsidRPr="0004566C" w:rsidRDefault="00507FFC" w:rsidP="00823ECA">
      <w:pPr>
        <w:autoSpaceDE w:val="0"/>
        <w:autoSpaceDN w:val="0"/>
        <w:adjustRightInd w:val="0"/>
        <w:spacing w:after="0" w:line="240" w:lineRule="auto"/>
        <w:jc w:val="center"/>
        <w:rPr>
          <w:rFonts w:ascii="Times New Roman" w:hAnsi="Times New Roman"/>
          <w:b/>
          <w:sz w:val="32"/>
          <w:szCs w:val="32"/>
          <w:lang w:eastAsia="it-IT"/>
        </w:rPr>
      </w:pPr>
    </w:p>
    <w:p w:rsidR="00507FFC" w:rsidRPr="0004566C" w:rsidRDefault="00507FFC" w:rsidP="00823ECA">
      <w:pPr>
        <w:autoSpaceDE w:val="0"/>
        <w:autoSpaceDN w:val="0"/>
        <w:adjustRightInd w:val="0"/>
        <w:spacing w:after="0" w:line="240" w:lineRule="auto"/>
        <w:jc w:val="center"/>
        <w:rPr>
          <w:rFonts w:ascii="Times New Roman" w:hAnsi="Times New Roman"/>
          <w:b/>
          <w:sz w:val="28"/>
          <w:szCs w:val="28"/>
          <w:lang w:eastAsia="it-IT"/>
        </w:rPr>
      </w:pPr>
    </w:p>
    <w:p w:rsidR="00507FFC" w:rsidRPr="0004566C" w:rsidRDefault="00507FFC" w:rsidP="00823ECA">
      <w:pPr>
        <w:pBdr>
          <w:top w:val="single" w:sz="4" w:space="0" w:color="auto"/>
          <w:left w:val="single" w:sz="4" w:space="4" w:color="auto"/>
          <w:bottom w:val="single" w:sz="4" w:space="1" w:color="auto"/>
          <w:right w:val="single" w:sz="4" w:space="4" w:color="auto"/>
        </w:pBdr>
        <w:autoSpaceDE w:val="0"/>
        <w:autoSpaceDN w:val="0"/>
        <w:adjustRightInd w:val="0"/>
        <w:spacing w:after="0" w:line="240" w:lineRule="auto"/>
        <w:jc w:val="center"/>
        <w:rPr>
          <w:rFonts w:ascii="Times New Roman" w:hAnsi="Times New Roman"/>
          <w:b/>
          <w:sz w:val="32"/>
          <w:szCs w:val="32"/>
          <w:lang w:eastAsia="it-IT"/>
        </w:rPr>
      </w:pPr>
      <w:r w:rsidRPr="0004566C">
        <w:rPr>
          <w:rFonts w:ascii="Times New Roman" w:hAnsi="Times New Roman"/>
          <w:b/>
          <w:sz w:val="32"/>
          <w:szCs w:val="32"/>
          <w:lang w:eastAsia="it-IT"/>
        </w:rPr>
        <w:t xml:space="preserve">REVISIONE ANNUALE DELLE </w:t>
      </w:r>
    </w:p>
    <w:p w:rsidR="00507FFC" w:rsidRPr="0004566C" w:rsidRDefault="00507FFC" w:rsidP="00823ECA">
      <w:pPr>
        <w:pBdr>
          <w:top w:val="single" w:sz="4" w:space="0" w:color="auto"/>
          <w:left w:val="single" w:sz="4" w:space="4" w:color="auto"/>
          <w:bottom w:val="single" w:sz="4" w:space="1" w:color="auto"/>
          <w:right w:val="single" w:sz="4" w:space="4" w:color="auto"/>
        </w:pBdr>
        <w:autoSpaceDE w:val="0"/>
        <w:autoSpaceDN w:val="0"/>
        <w:adjustRightInd w:val="0"/>
        <w:spacing w:after="0" w:line="240" w:lineRule="auto"/>
        <w:jc w:val="center"/>
        <w:rPr>
          <w:rFonts w:ascii="Times New Roman" w:hAnsi="Times New Roman"/>
          <w:b/>
          <w:sz w:val="32"/>
          <w:szCs w:val="32"/>
          <w:lang w:eastAsia="it-IT"/>
        </w:rPr>
      </w:pPr>
      <w:r w:rsidRPr="0004566C">
        <w:rPr>
          <w:rFonts w:ascii="Times New Roman" w:hAnsi="Times New Roman"/>
          <w:b/>
          <w:sz w:val="32"/>
          <w:szCs w:val="32"/>
          <w:lang w:eastAsia="it-IT"/>
        </w:rPr>
        <w:t>PARTECIPAZIONI SOCIETARIE ANNO 202</w:t>
      </w:r>
      <w:r>
        <w:rPr>
          <w:rFonts w:ascii="Times New Roman" w:hAnsi="Times New Roman"/>
          <w:b/>
          <w:sz w:val="32"/>
          <w:szCs w:val="32"/>
          <w:lang w:eastAsia="it-IT"/>
        </w:rPr>
        <w:t>5</w:t>
      </w:r>
    </w:p>
    <w:p w:rsidR="00507FFC" w:rsidRPr="0004566C" w:rsidRDefault="00507FFC" w:rsidP="0031769F">
      <w:pPr>
        <w:pBdr>
          <w:top w:val="single" w:sz="4" w:space="0" w:color="auto"/>
          <w:left w:val="single" w:sz="4" w:space="4" w:color="auto"/>
          <w:bottom w:val="single" w:sz="4" w:space="1" w:color="auto"/>
          <w:right w:val="single" w:sz="4" w:space="4" w:color="auto"/>
        </w:pBdr>
        <w:autoSpaceDE w:val="0"/>
        <w:autoSpaceDN w:val="0"/>
        <w:adjustRightInd w:val="0"/>
        <w:spacing w:after="0" w:line="240" w:lineRule="auto"/>
        <w:jc w:val="center"/>
        <w:rPr>
          <w:rFonts w:ascii="Times New Roman" w:hAnsi="Times New Roman"/>
          <w:b/>
          <w:i/>
          <w:sz w:val="24"/>
          <w:szCs w:val="24"/>
          <w:lang w:eastAsia="it-IT"/>
        </w:rPr>
      </w:pPr>
      <w:r w:rsidRPr="0004566C">
        <w:rPr>
          <w:rFonts w:ascii="Times New Roman" w:hAnsi="Times New Roman"/>
          <w:b/>
          <w:i/>
          <w:sz w:val="24"/>
          <w:szCs w:val="24"/>
          <w:lang w:eastAsia="it-IT"/>
        </w:rPr>
        <w:t xml:space="preserve">Decreto Legislativo n. 175 del 19 agosto 2016 come modificato </w:t>
      </w:r>
    </w:p>
    <w:p w:rsidR="00507FFC" w:rsidRPr="0004566C" w:rsidRDefault="00507FFC" w:rsidP="0031769F">
      <w:pPr>
        <w:pBdr>
          <w:top w:val="single" w:sz="4" w:space="0" w:color="auto"/>
          <w:left w:val="single" w:sz="4" w:space="4" w:color="auto"/>
          <w:bottom w:val="single" w:sz="4" w:space="1" w:color="auto"/>
          <w:right w:val="single" w:sz="4" w:space="4" w:color="auto"/>
        </w:pBdr>
        <w:autoSpaceDE w:val="0"/>
        <w:autoSpaceDN w:val="0"/>
        <w:adjustRightInd w:val="0"/>
        <w:spacing w:after="0" w:line="240" w:lineRule="auto"/>
        <w:jc w:val="center"/>
        <w:rPr>
          <w:rFonts w:ascii="Times New Roman" w:hAnsi="Times New Roman"/>
          <w:b/>
          <w:i/>
          <w:sz w:val="24"/>
          <w:szCs w:val="24"/>
          <w:lang w:eastAsia="it-IT"/>
        </w:rPr>
      </w:pPr>
      <w:r w:rsidRPr="0004566C">
        <w:rPr>
          <w:rFonts w:ascii="Times New Roman" w:hAnsi="Times New Roman"/>
          <w:b/>
          <w:i/>
          <w:sz w:val="24"/>
          <w:szCs w:val="24"/>
          <w:lang w:eastAsia="it-IT"/>
        </w:rPr>
        <w:t>dal Decreto Legislativo n. 100 del 16 giugno 2017</w:t>
      </w:r>
    </w:p>
    <w:p w:rsidR="00507FFC" w:rsidRPr="00055827" w:rsidRDefault="00507FFC" w:rsidP="00055827">
      <w:pPr>
        <w:pStyle w:val="Default"/>
        <w:spacing w:before="80"/>
        <w:ind w:left="66"/>
        <w:rPr>
          <w:rFonts w:ascii="Times New Roman" w:hAnsi="Times New Roman" w:cs="Times New Roman"/>
          <w:b/>
          <w:color w:val="auto"/>
          <w:sz w:val="12"/>
          <w:szCs w:val="12"/>
        </w:rPr>
      </w:pPr>
    </w:p>
    <w:p w:rsidR="00507FFC" w:rsidRPr="00AF00C2" w:rsidRDefault="00507FFC" w:rsidP="002037C2">
      <w:pPr>
        <w:pStyle w:val="Default"/>
        <w:numPr>
          <w:ilvl w:val="0"/>
          <w:numId w:val="1"/>
        </w:numPr>
        <w:spacing w:before="80"/>
        <w:ind w:left="426"/>
        <w:rPr>
          <w:rFonts w:ascii="Times New Roman" w:hAnsi="Times New Roman" w:cs="Times New Roman"/>
          <w:b/>
          <w:color w:val="auto"/>
          <w:sz w:val="22"/>
          <w:szCs w:val="22"/>
        </w:rPr>
      </w:pPr>
      <w:r w:rsidRPr="00AF00C2">
        <w:rPr>
          <w:rFonts w:ascii="Times New Roman" w:hAnsi="Times New Roman"/>
          <w:b/>
          <w:color w:val="auto"/>
          <w:sz w:val="22"/>
          <w:szCs w:val="22"/>
        </w:rPr>
        <w:t>Relazione tecnica alla revisione annuale delle par</w:t>
      </w:r>
      <w:r>
        <w:rPr>
          <w:rFonts w:ascii="Times New Roman" w:hAnsi="Times New Roman"/>
          <w:b/>
          <w:color w:val="auto"/>
          <w:sz w:val="22"/>
          <w:szCs w:val="22"/>
        </w:rPr>
        <w:t>tecipazioni societarie anno 2025</w:t>
      </w:r>
    </w:p>
    <w:p w:rsidR="00507FFC" w:rsidRPr="00295B62" w:rsidRDefault="00507FFC" w:rsidP="00295B62">
      <w:pPr>
        <w:pStyle w:val="Default"/>
        <w:spacing w:before="80"/>
        <w:ind w:left="567"/>
        <w:rPr>
          <w:rFonts w:ascii="Times New Roman" w:hAnsi="Times New Roman" w:cs="Times New Roman"/>
          <w:b/>
          <w:color w:val="auto"/>
          <w:sz w:val="22"/>
          <w:szCs w:val="22"/>
        </w:rPr>
      </w:pPr>
      <w:r w:rsidRPr="00AF00C2">
        <w:rPr>
          <w:rFonts w:ascii="Times New Roman" w:hAnsi="Times New Roman"/>
          <w:b/>
        </w:rPr>
        <w:t xml:space="preserve">1.1 - </w:t>
      </w:r>
      <w:r w:rsidRPr="00295B62">
        <w:rPr>
          <w:rFonts w:ascii="Times New Roman" w:hAnsi="Times New Roman" w:cs="Times New Roman"/>
          <w:b/>
          <w:color w:val="auto"/>
          <w:sz w:val="22"/>
          <w:szCs w:val="22"/>
        </w:rPr>
        <w:t>Il quadro d’insieme normativo di riferimento</w:t>
      </w:r>
    </w:p>
    <w:p w:rsidR="00507FFC" w:rsidRPr="00295B62" w:rsidRDefault="00507FFC" w:rsidP="00295B62">
      <w:pPr>
        <w:pStyle w:val="Default"/>
        <w:spacing w:before="80"/>
        <w:ind w:left="567"/>
        <w:rPr>
          <w:rFonts w:ascii="Times New Roman" w:hAnsi="Times New Roman" w:cs="Times New Roman"/>
          <w:b/>
          <w:color w:val="auto"/>
          <w:sz w:val="22"/>
          <w:szCs w:val="22"/>
        </w:rPr>
      </w:pPr>
      <w:r w:rsidRPr="00295B62">
        <w:rPr>
          <w:rFonts w:ascii="Times New Roman" w:hAnsi="Times New Roman" w:cs="Times New Roman"/>
          <w:b/>
          <w:color w:val="auto"/>
          <w:sz w:val="22"/>
          <w:szCs w:val="22"/>
        </w:rPr>
        <w:t>1.2 - Criteri di attuazione</w:t>
      </w:r>
    </w:p>
    <w:p w:rsidR="00507FFC" w:rsidRPr="00295B62" w:rsidRDefault="00507FFC" w:rsidP="00295B62">
      <w:pPr>
        <w:pStyle w:val="Default"/>
        <w:spacing w:before="80"/>
        <w:ind w:left="567"/>
        <w:rPr>
          <w:rFonts w:ascii="Times New Roman" w:hAnsi="Times New Roman" w:cs="Times New Roman"/>
          <w:b/>
          <w:color w:val="auto"/>
          <w:sz w:val="22"/>
          <w:szCs w:val="22"/>
        </w:rPr>
      </w:pPr>
      <w:r w:rsidRPr="00295B62">
        <w:rPr>
          <w:rFonts w:ascii="Times New Roman" w:hAnsi="Times New Roman" w:cs="Times New Roman"/>
          <w:b/>
          <w:color w:val="auto"/>
          <w:sz w:val="22"/>
          <w:szCs w:val="22"/>
        </w:rPr>
        <w:t>1.3 - Contenuto, adempimenti e tempistica</w:t>
      </w:r>
    </w:p>
    <w:p w:rsidR="00507FFC" w:rsidRPr="00295B62" w:rsidRDefault="00507FFC" w:rsidP="00295B62">
      <w:pPr>
        <w:pStyle w:val="Default"/>
        <w:spacing w:before="80"/>
        <w:ind w:left="567"/>
        <w:rPr>
          <w:rFonts w:ascii="Times New Roman" w:hAnsi="Times New Roman" w:cs="Times New Roman"/>
          <w:b/>
          <w:color w:val="auto"/>
          <w:sz w:val="22"/>
          <w:szCs w:val="22"/>
        </w:rPr>
      </w:pPr>
      <w:r w:rsidRPr="00295B62">
        <w:rPr>
          <w:rFonts w:ascii="Times New Roman" w:hAnsi="Times New Roman" w:cs="Times New Roman"/>
          <w:b/>
          <w:color w:val="auto"/>
          <w:sz w:val="22"/>
          <w:szCs w:val="22"/>
        </w:rPr>
        <w:t>1.4 – Relazione ai sensi dell’art. 20,  comma 4, del d.lgs. 19/08/2016, n. 175</w:t>
      </w:r>
    </w:p>
    <w:p w:rsidR="00507FFC" w:rsidRPr="00AF00C2" w:rsidRDefault="00507FFC" w:rsidP="002037C2">
      <w:pPr>
        <w:pStyle w:val="Default"/>
        <w:spacing w:before="80"/>
        <w:ind w:left="1260"/>
        <w:rPr>
          <w:rFonts w:ascii="Times New Roman" w:hAnsi="Times New Roman" w:cs="Times New Roman"/>
          <w:b/>
          <w:color w:val="auto"/>
          <w:sz w:val="22"/>
          <w:szCs w:val="22"/>
        </w:rPr>
      </w:pPr>
      <w:r>
        <w:rPr>
          <w:rFonts w:ascii="Times New Roman" w:hAnsi="Times New Roman" w:cs="Times New Roman"/>
          <w:b/>
          <w:color w:val="auto"/>
          <w:sz w:val="22"/>
          <w:szCs w:val="22"/>
        </w:rPr>
        <w:t xml:space="preserve">1.4.1 </w:t>
      </w:r>
      <w:r w:rsidRPr="00AF00C2">
        <w:rPr>
          <w:rFonts w:ascii="Times New Roman" w:hAnsi="Times New Roman" w:cs="Times New Roman"/>
          <w:b/>
          <w:color w:val="auto"/>
          <w:sz w:val="22"/>
          <w:szCs w:val="22"/>
        </w:rPr>
        <w:t>A.S.M. PAVIA S.P.A.</w:t>
      </w:r>
    </w:p>
    <w:p w:rsidR="00507FFC" w:rsidRPr="00AF00C2" w:rsidRDefault="00507FFC" w:rsidP="002037C2">
      <w:pPr>
        <w:pStyle w:val="Default"/>
        <w:spacing w:before="80"/>
        <w:ind w:left="1260"/>
        <w:rPr>
          <w:rFonts w:ascii="Times New Roman" w:hAnsi="Times New Roman" w:cs="Times New Roman"/>
          <w:b/>
          <w:color w:val="auto"/>
          <w:sz w:val="22"/>
          <w:szCs w:val="22"/>
          <w:lang w:eastAsia="ja-JP"/>
        </w:rPr>
      </w:pPr>
      <w:r>
        <w:rPr>
          <w:rFonts w:ascii="Times New Roman" w:hAnsi="Times New Roman" w:cs="Times New Roman"/>
          <w:b/>
          <w:color w:val="auto"/>
          <w:sz w:val="22"/>
          <w:szCs w:val="22"/>
        </w:rPr>
        <w:t xml:space="preserve">1.4.2 </w:t>
      </w:r>
      <w:r w:rsidRPr="00AF00C2">
        <w:rPr>
          <w:rFonts w:ascii="Times New Roman" w:hAnsi="Times New Roman" w:cs="Times New Roman"/>
          <w:b/>
          <w:color w:val="auto"/>
          <w:sz w:val="22"/>
          <w:szCs w:val="22"/>
          <w:lang w:eastAsia="ja-JP"/>
        </w:rPr>
        <w:t>TECHNOSTONE S.R.L. IN LIQUIDAZIONE</w:t>
      </w:r>
    </w:p>
    <w:p w:rsidR="00507FFC" w:rsidRPr="00AF00C2" w:rsidRDefault="00507FFC" w:rsidP="002037C2">
      <w:pPr>
        <w:pStyle w:val="Default"/>
        <w:spacing w:before="80"/>
        <w:ind w:left="1260"/>
        <w:rPr>
          <w:rFonts w:ascii="Times New Roman" w:hAnsi="Times New Roman" w:cs="Times New Roman"/>
          <w:b/>
          <w:color w:val="auto"/>
          <w:sz w:val="22"/>
          <w:szCs w:val="22"/>
          <w:lang w:eastAsia="ja-JP"/>
        </w:rPr>
      </w:pPr>
      <w:r>
        <w:rPr>
          <w:rFonts w:ascii="Times New Roman" w:hAnsi="Times New Roman" w:cs="Times New Roman"/>
          <w:b/>
          <w:color w:val="auto"/>
          <w:sz w:val="22"/>
          <w:szCs w:val="22"/>
        </w:rPr>
        <w:t>1.4.3</w:t>
      </w:r>
      <w:r w:rsidRPr="00AF00C2">
        <w:rPr>
          <w:rFonts w:ascii="Times New Roman" w:hAnsi="Times New Roman" w:cs="Times New Roman"/>
          <w:b/>
          <w:color w:val="auto"/>
          <w:sz w:val="22"/>
          <w:szCs w:val="22"/>
          <w:lang w:eastAsia="ja-JP"/>
        </w:rPr>
        <w:t xml:space="preserve"> A2E SERVIZI S.R.L. IN LIQUIDAZIONE</w:t>
      </w:r>
    </w:p>
    <w:p w:rsidR="00507FFC" w:rsidRPr="00AF00C2" w:rsidRDefault="00507FFC" w:rsidP="002037C2">
      <w:pPr>
        <w:pStyle w:val="Default"/>
        <w:spacing w:before="80"/>
        <w:ind w:left="1260"/>
        <w:rPr>
          <w:rFonts w:ascii="Times New Roman" w:hAnsi="Times New Roman" w:cs="Times New Roman"/>
          <w:b/>
          <w:color w:val="auto"/>
          <w:sz w:val="22"/>
          <w:szCs w:val="22"/>
          <w:lang w:eastAsia="ja-JP"/>
        </w:rPr>
      </w:pPr>
      <w:r>
        <w:rPr>
          <w:rFonts w:ascii="Times New Roman" w:hAnsi="Times New Roman" w:cs="Times New Roman"/>
          <w:b/>
          <w:color w:val="auto"/>
          <w:sz w:val="22"/>
          <w:szCs w:val="22"/>
        </w:rPr>
        <w:t>1.4.4</w:t>
      </w:r>
      <w:r w:rsidRPr="00AF00C2">
        <w:rPr>
          <w:rFonts w:ascii="Times New Roman" w:hAnsi="Times New Roman" w:cs="Times New Roman"/>
          <w:b/>
          <w:color w:val="auto"/>
          <w:sz w:val="22"/>
          <w:szCs w:val="22"/>
          <w:lang w:eastAsia="ja-JP"/>
        </w:rPr>
        <w:t xml:space="preserve"> PAVIA ACQUE  S.C.A.R.L.</w:t>
      </w:r>
    </w:p>
    <w:p w:rsidR="00507FFC" w:rsidRPr="00AF00C2" w:rsidRDefault="00507FFC" w:rsidP="002037C2">
      <w:pPr>
        <w:pStyle w:val="Default"/>
        <w:spacing w:before="80"/>
        <w:ind w:left="1260"/>
        <w:rPr>
          <w:rFonts w:ascii="Times New Roman" w:hAnsi="Times New Roman" w:cs="Times New Roman"/>
          <w:b/>
          <w:color w:val="auto"/>
          <w:sz w:val="22"/>
          <w:szCs w:val="22"/>
          <w:lang w:eastAsia="ja-JP"/>
        </w:rPr>
      </w:pPr>
      <w:r>
        <w:rPr>
          <w:rFonts w:ascii="Times New Roman" w:hAnsi="Times New Roman" w:cs="Times New Roman"/>
          <w:b/>
          <w:color w:val="auto"/>
          <w:sz w:val="22"/>
          <w:szCs w:val="22"/>
        </w:rPr>
        <w:t>1.4.5</w:t>
      </w:r>
      <w:r w:rsidRPr="00AF00C2">
        <w:rPr>
          <w:rFonts w:ascii="Times New Roman" w:hAnsi="Times New Roman" w:cs="Times New Roman"/>
          <w:b/>
          <w:color w:val="auto"/>
          <w:sz w:val="22"/>
          <w:szCs w:val="22"/>
          <w:lang w:eastAsia="ja-JP"/>
        </w:rPr>
        <w:t xml:space="preserve"> A2A SPA</w:t>
      </w:r>
    </w:p>
    <w:p w:rsidR="00507FFC" w:rsidRPr="00AF00C2" w:rsidRDefault="00507FFC" w:rsidP="002037C2">
      <w:pPr>
        <w:pStyle w:val="Default"/>
        <w:spacing w:before="80"/>
        <w:rPr>
          <w:rFonts w:ascii="Times New Roman" w:hAnsi="Times New Roman"/>
          <w:b/>
          <w:color w:val="auto"/>
          <w:sz w:val="22"/>
          <w:szCs w:val="22"/>
        </w:rPr>
      </w:pPr>
      <w:r w:rsidRPr="00AF00C2">
        <w:rPr>
          <w:rFonts w:ascii="Times New Roman" w:hAnsi="Times New Roman" w:cs="Times New Roman"/>
          <w:b/>
          <w:color w:val="auto"/>
          <w:sz w:val="22"/>
          <w:szCs w:val="22"/>
        </w:rPr>
        <w:t xml:space="preserve">2. </w:t>
      </w:r>
      <w:r w:rsidRPr="00AF00C2">
        <w:rPr>
          <w:rFonts w:ascii="Times New Roman" w:hAnsi="Times New Roman"/>
          <w:b/>
          <w:color w:val="auto"/>
          <w:sz w:val="22"/>
          <w:szCs w:val="22"/>
        </w:rPr>
        <w:t xml:space="preserve">Ricognizione delle partecipazioni societarie: </w:t>
      </w:r>
    </w:p>
    <w:p w:rsidR="00507FFC" w:rsidRPr="00AF00C2" w:rsidRDefault="00507FFC" w:rsidP="00295B62">
      <w:pPr>
        <w:pStyle w:val="Default"/>
        <w:spacing w:before="80"/>
        <w:ind w:left="567"/>
        <w:rPr>
          <w:rFonts w:ascii="Times New Roman" w:hAnsi="Times New Roman" w:cs="Times New Roman"/>
          <w:b/>
          <w:color w:val="auto"/>
          <w:sz w:val="22"/>
          <w:szCs w:val="22"/>
        </w:rPr>
      </w:pPr>
      <w:r w:rsidRPr="00AF00C2">
        <w:rPr>
          <w:rFonts w:ascii="Times New Roman" w:hAnsi="Times New Roman" w:cs="Times New Roman"/>
          <w:b/>
          <w:color w:val="auto"/>
          <w:sz w:val="22"/>
          <w:szCs w:val="22"/>
        </w:rPr>
        <w:t>2.1 Partecipazioni dirette</w:t>
      </w:r>
    </w:p>
    <w:p w:rsidR="00507FFC" w:rsidRDefault="00507FFC" w:rsidP="00295B62">
      <w:pPr>
        <w:pStyle w:val="Default"/>
        <w:spacing w:before="80"/>
        <w:ind w:left="567"/>
        <w:rPr>
          <w:rFonts w:ascii="Times New Roman" w:hAnsi="Times New Roman" w:cs="Times New Roman"/>
          <w:b/>
          <w:color w:val="auto"/>
          <w:sz w:val="22"/>
          <w:szCs w:val="22"/>
        </w:rPr>
      </w:pPr>
      <w:r w:rsidRPr="00AF00C2">
        <w:rPr>
          <w:rFonts w:ascii="Times New Roman" w:hAnsi="Times New Roman" w:cs="Times New Roman"/>
          <w:b/>
          <w:color w:val="auto"/>
          <w:sz w:val="22"/>
          <w:szCs w:val="22"/>
        </w:rPr>
        <w:t>2.2 Partecipazioni indirette</w:t>
      </w:r>
    </w:p>
    <w:p w:rsidR="00507FFC" w:rsidRPr="00AF00C2" w:rsidRDefault="00507FFC" w:rsidP="00295B62">
      <w:pPr>
        <w:pStyle w:val="Default"/>
        <w:spacing w:before="80"/>
        <w:ind w:left="567"/>
        <w:rPr>
          <w:rFonts w:ascii="Times New Roman" w:hAnsi="Times New Roman" w:cs="Times New Roman"/>
          <w:b/>
          <w:color w:val="auto"/>
          <w:sz w:val="22"/>
          <w:szCs w:val="22"/>
        </w:rPr>
      </w:pPr>
      <w:r>
        <w:rPr>
          <w:rFonts w:ascii="Times New Roman" w:hAnsi="Times New Roman" w:cs="Times New Roman"/>
          <w:b/>
          <w:sz w:val="22"/>
          <w:szCs w:val="22"/>
        </w:rPr>
        <w:t xml:space="preserve">2.3 </w:t>
      </w:r>
      <w:r w:rsidRPr="00AF00C2">
        <w:rPr>
          <w:rFonts w:ascii="Times New Roman" w:hAnsi="Times New Roman" w:cs="Times New Roman"/>
          <w:b/>
          <w:color w:val="auto"/>
          <w:sz w:val="22"/>
          <w:szCs w:val="22"/>
        </w:rPr>
        <w:t>Rappresentazione grafica</w:t>
      </w:r>
      <w:r>
        <w:rPr>
          <w:rFonts w:ascii="Times New Roman" w:hAnsi="Times New Roman" w:cs="Times New Roman"/>
          <w:b/>
          <w:color w:val="auto"/>
          <w:sz w:val="22"/>
          <w:szCs w:val="22"/>
        </w:rPr>
        <w:t xml:space="preserve"> p</w:t>
      </w:r>
      <w:r w:rsidRPr="00AF00C2">
        <w:rPr>
          <w:rFonts w:ascii="Times New Roman" w:hAnsi="Times New Roman" w:cs="Times New Roman"/>
          <w:b/>
          <w:color w:val="auto"/>
          <w:sz w:val="22"/>
          <w:szCs w:val="22"/>
        </w:rPr>
        <w:t xml:space="preserve">artecipazioni </w:t>
      </w:r>
      <w:r>
        <w:rPr>
          <w:rFonts w:ascii="Times New Roman" w:hAnsi="Times New Roman" w:cs="Times New Roman"/>
          <w:b/>
          <w:color w:val="auto"/>
          <w:sz w:val="22"/>
          <w:szCs w:val="22"/>
        </w:rPr>
        <w:t xml:space="preserve">dirette e </w:t>
      </w:r>
      <w:r w:rsidRPr="00AF00C2">
        <w:rPr>
          <w:rFonts w:ascii="Times New Roman" w:hAnsi="Times New Roman" w:cs="Times New Roman"/>
          <w:b/>
          <w:color w:val="auto"/>
          <w:sz w:val="22"/>
          <w:szCs w:val="22"/>
        </w:rPr>
        <w:t>indirette</w:t>
      </w:r>
    </w:p>
    <w:p w:rsidR="00507FFC" w:rsidRPr="00AF00C2" w:rsidRDefault="00507FFC" w:rsidP="00295B62">
      <w:pPr>
        <w:pStyle w:val="Default"/>
        <w:spacing w:before="80"/>
        <w:ind w:left="567"/>
        <w:rPr>
          <w:rFonts w:ascii="Times New Roman" w:hAnsi="Times New Roman" w:cs="Times New Roman"/>
          <w:b/>
          <w:color w:val="auto"/>
          <w:sz w:val="22"/>
          <w:szCs w:val="22"/>
        </w:rPr>
      </w:pPr>
      <w:r>
        <w:rPr>
          <w:rFonts w:ascii="Times New Roman" w:hAnsi="Times New Roman" w:cs="Times New Roman"/>
          <w:b/>
          <w:color w:val="auto"/>
          <w:sz w:val="22"/>
          <w:szCs w:val="22"/>
        </w:rPr>
        <w:t>2.4</w:t>
      </w:r>
      <w:r w:rsidRPr="00AF00C2">
        <w:rPr>
          <w:rFonts w:ascii="Times New Roman" w:hAnsi="Times New Roman" w:cs="Times New Roman"/>
          <w:b/>
          <w:color w:val="auto"/>
          <w:sz w:val="22"/>
          <w:szCs w:val="22"/>
        </w:rPr>
        <w:t xml:space="preserve"> </w:t>
      </w:r>
      <w:r>
        <w:rPr>
          <w:rFonts w:ascii="Times New Roman" w:hAnsi="Times New Roman" w:cs="Times New Roman"/>
          <w:b/>
          <w:color w:val="auto"/>
          <w:sz w:val="22"/>
          <w:szCs w:val="22"/>
        </w:rPr>
        <w:t>O</w:t>
      </w:r>
      <w:r w:rsidRPr="00AF00C2">
        <w:rPr>
          <w:rFonts w:ascii="Times New Roman" w:hAnsi="Times New Roman" w:cs="Times New Roman"/>
          <w:b/>
          <w:sz w:val="22"/>
          <w:szCs w:val="22"/>
        </w:rPr>
        <w:t>rganismi non societari</w:t>
      </w:r>
    </w:p>
    <w:p w:rsidR="00507FFC" w:rsidRPr="00AF00C2" w:rsidRDefault="00507FFC" w:rsidP="002037C2">
      <w:pPr>
        <w:pStyle w:val="Default"/>
        <w:spacing w:before="80"/>
        <w:rPr>
          <w:rFonts w:ascii="Times New Roman" w:hAnsi="Times New Roman" w:cs="Times New Roman"/>
          <w:b/>
          <w:color w:val="auto"/>
          <w:sz w:val="22"/>
          <w:szCs w:val="22"/>
        </w:rPr>
      </w:pPr>
      <w:r>
        <w:rPr>
          <w:rFonts w:ascii="Times New Roman" w:hAnsi="Times New Roman" w:cs="Times New Roman"/>
          <w:b/>
          <w:color w:val="auto"/>
          <w:sz w:val="22"/>
          <w:szCs w:val="22"/>
        </w:rPr>
        <w:t>3</w:t>
      </w:r>
      <w:r w:rsidRPr="00AF00C2">
        <w:rPr>
          <w:rFonts w:ascii="Times New Roman" w:hAnsi="Times New Roman" w:cs="Times New Roman"/>
          <w:b/>
          <w:color w:val="auto"/>
          <w:sz w:val="22"/>
          <w:szCs w:val="22"/>
        </w:rPr>
        <w:t xml:space="preserve">. Informazioni di dettaglio sulle singole società partecipate: </w:t>
      </w:r>
    </w:p>
    <w:p w:rsidR="00507FFC" w:rsidRPr="00AF00C2" w:rsidRDefault="00507FFC" w:rsidP="002037C2">
      <w:pPr>
        <w:pStyle w:val="Default"/>
        <w:spacing w:before="80"/>
        <w:ind w:left="567"/>
        <w:rPr>
          <w:rFonts w:ascii="Times New Roman" w:hAnsi="Times New Roman" w:cs="Times New Roman"/>
          <w:b/>
          <w:color w:val="auto"/>
          <w:sz w:val="22"/>
          <w:szCs w:val="22"/>
        </w:rPr>
      </w:pPr>
      <w:r>
        <w:rPr>
          <w:rFonts w:ascii="Times New Roman" w:hAnsi="Times New Roman" w:cs="Times New Roman"/>
          <w:b/>
          <w:color w:val="auto"/>
          <w:sz w:val="22"/>
          <w:szCs w:val="22"/>
        </w:rPr>
        <w:t>3</w:t>
      </w:r>
      <w:r w:rsidRPr="00AF00C2">
        <w:rPr>
          <w:rFonts w:ascii="Times New Roman" w:hAnsi="Times New Roman" w:cs="Times New Roman"/>
          <w:b/>
          <w:color w:val="auto"/>
          <w:sz w:val="22"/>
          <w:szCs w:val="22"/>
        </w:rPr>
        <w:t>.1 Partecipazioni dirette</w:t>
      </w:r>
    </w:p>
    <w:p w:rsidR="00507FFC" w:rsidRPr="00AF00C2" w:rsidRDefault="00507FFC" w:rsidP="002037C2">
      <w:pPr>
        <w:pStyle w:val="Default"/>
        <w:spacing w:before="80"/>
        <w:ind w:left="992"/>
        <w:rPr>
          <w:rFonts w:ascii="Times New Roman" w:hAnsi="Times New Roman" w:cs="Times New Roman"/>
          <w:b/>
          <w:color w:val="auto"/>
          <w:sz w:val="22"/>
          <w:szCs w:val="22"/>
        </w:rPr>
      </w:pPr>
      <w:r w:rsidRPr="00AF00C2">
        <w:rPr>
          <w:rFonts w:ascii="Times New Roman" w:hAnsi="Times New Roman" w:cs="Times New Roman"/>
          <w:b/>
          <w:color w:val="auto"/>
          <w:sz w:val="22"/>
          <w:szCs w:val="22"/>
        </w:rPr>
        <w:t>A.S.M. PAVIA S.P.A.</w:t>
      </w:r>
    </w:p>
    <w:p w:rsidR="00507FFC" w:rsidRPr="00AF00C2" w:rsidRDefault="00507FFC" w:rsidP="002037C2">
      <w:pPr>
        <w:pStyle w:val="Default"/>
        <w:spacing w:before="80"/>
        <w:ind w:left="567"/>
        <w:rPr>
          <w:rFonts w:ascii="Times New Roman" w:hAnsi="Times New Roman" w:cs="Times New Roman"/>
          <w:b/>
          <w:color w:val="auto"/>
          <w:sz w:val="22"/>
          <w:szCs w:val="22"/>
        </w:rPr>
      </w:pPr>
      <w:r>
        <w:rPr>
          <w:rFonts w:ascii="Times New Roman" w:hAnsi="Times New Roman" w:cs="Times New Roman"/>
          <w:b/>
          <w:color w:val="auto"/>
          <w:sz w:val="22"/>
          <w:szCs w:val="22"/>
        </w:rPr>
        <w:t>3</w:t>
      </w:r>
      <w:r w:rsidRPr="00AF00C2">
        <w:rPr>
          <w:rFonts w:ascii="Times New Roman" w:hAnsi="Times New Roman" w:cs="Times New Roman"/>
          <w:b/>
          <w:color w:val="auto"/>
          <w:sz w:val="22"/>
          <w:szCs w:val="22"/>
        </w:rPr>
        <w:t>.2 Partecipazioni indirette</w:t>
      </w:r>
    </w:p>
    <w:p w:rsidR="00507FFC" w:rsidRPr="00AF00C2" w:rsidRDefault="00507FFC" w:rsidP="002037C2">
      <w:pPr>
        <w:pStyle w:val="Default"/>
        <w:spacing w:before="80"/>
        <w:ind w:left="851"/>
        <w:rPr>
          <w:rFonts w:ascii="Times New Roman" w:hAnsi="Times New Roman" w:cs="Times New Roman"/>
          <w:b/>
          <w:color w:val="auto"/>
          <w:sz w:val="22"/>
          <w:szCs w:val="22"/>
          <w:lang w:eastAsia="ja-JP"/>
        </w:rPr>
      </w:pPr>
      <w:r>
        <w:rPr>
          <w:rFonts w:ascii="Times New Roman" w:hAnsi="Times New Roman" w:cs="Times New Roman"/>
          <w:b/>
          <w:color w:val="auto"/>
          <w:sz w:val="22"/>
          <w:szCs w:val="22"/>
          <w:lang w:eastAsia="ja-JP"/>
        </w:rPr>
        <w:t>3</w:t>
      </w:r>
      <w:r w:rsidRPr="00AF00C2">
        <w:rPr>
          <w:rFonts w:ascii="Times New Roman" w:hAnsi="Times New Roman" w:cs="Times New Roman"/>
          <w:b/>
          <w:color w:val="auto"/>
          <w:sz w:val="22"/>
          <w:szCs w:val="22"/>
          <w:lang w:eastAsia="ja-JP"/>
        </w:rPr>
        <w:t>.2.1 TECHNOSTONE S.R.L. IN LIQUIDAZIONE</w:t>
      </w:r>
    </w:p>
    <w:p w:rsidR="00507FFC" w:rsidRPr="00AF00C2" w:rsidRDefault="00507FFC" w:rsidP="002037C2">
      <w:pPr>
        <w:pStyle w:val="Default"/>
        <w:spacing w:before="80"/>
        <w:ind w:left="851"/>
        <w:rPr>
          <w:rFonts w:ascii="Times New Roman" w:hAnsi="Times New Roman" w:cs="Times New Roman"/>
          <w:b/>
          <w:color w:val="auto"/>
          <w:sz w:val="22"/>
          <w:szCs w:val="22"/>
          <w:lang w:eastAsia="ja-JP"/>
        </w:rPr>
      </w:pPr>
      <w:r>
        <w:rPr>
          <w:rFonts w:ascii="Times New Roman" w:hAnsi="Times New Roman" w:cs="Times New Roman"/>
          <w:b/>
          <w:color w:val="auto"/>
          <w:sz w:val="22"/>
          <w:szCs w:val="22"/>
          <w:lang w:eastAsia="ja-JP"/>
        </w:rPr>
        <w:t>3</w:t>
      </w:r>
      <w:r w:rsidRPr="00AF00C2">
        <w:rPr>
          <w:rFonts w:ascii="Times New Roman" w:hAnsi="Times New Roman" w:cs="Times New Roman"/>
          <w:b/>
          <w:color w:val="auto"/>
          <w:sz w:val="22"/>
          <w:szCs w:val="22"/>
          <w:lang w:eastAsia="ja-JP"/>
        </w:rPr>
        <w:t>.2.2 A2E SERVIZI S.R.L. IN LIQUIDAZIONE</w:t>
      </w:r>
    </w:p>
    <w:p w:rsidR="00507FFC" w:rsidRPr="00AF00C2" w:rsidRDefault="00507FFC" w:rsidP="002037C2">
      <w:pPr>
        <w:pStyle w:val="Default"/>
        <w:spacing w:before="80"/>
        <w:ind w:left="851"/>
        <w:rPr>
          <w:rFonts w:ascii="Times New Roman" w:hAnsi="Times New Roman" w:cs="Times New Roman"/>
          <w:b/>
          <w:color w:val="auto"/>
          <w:sz w:val="22"/>
          <w:szCs w:val="22"/>
          <w:lang w:eastAsia="ja-JP"/>
        </w:rPr>
      </w:pPr>
      <w:r>
        <w:rPr>
          <w:rFonts w:ascii="Times New Roman" w:hAnsi="Times New Roman" w:cs="Times New Roman"/>
          <w:b/>
          <w:color w:val="auto"/>
          <w:sz w:val="22"/>
          <w:szCs w:val="22"/>
          <w:lang w:eastAsia="ja-JP"/>
        </w:rPr>
        <w:t>3.2</w:t>
      </w:r>
      <w:r w:rsidRPr="00AF00C2">
        <w:rPr>
          <w:rFonts w:ascii="Times New Roman" w:hAnsi="Times New Roman" w:cs="Times New Roman"/>
          <w:b/>
          <w:color w:val="auto"/>
          <w:sz w:val="22"/>
          <w:szCs w:val="22"/>
          <w:lang w:eastAsia="ja-JP"/>
        </w:rPr>
        <w:t>.3. PAVIA ACQUE  S.C.A.R.L.</w:t>
      </w:r>
    </w:p>
    <w:p w:rsidR="00507FFC" w:rsidRPr="00AF00C2" w:rsidRDefault="00507FFC" w:rsidP="002037C2">
      <w:pPr>
        <w:pStyle w:val="Default"/>
        <w:spacing w:before="80"/>
        <w:ind w:left="851"/>
        <w:rPr>
          <w:rFonts w:ascii="Times New Roman" w:hAnsi="Times New Roman" w:cs="Times New Roman"/>
          <w:b/>
          <w:color w:val="auto"/>
          <w:sz w:val="22"/>
          <w:szCs w:val="22"/>
          <w:lang w:eastAsia="ja-JP"/>
        </w:rPr>
      </w:pPr>
      <w:r>
        <w:rPr>
          <w:rFonts w:ascii="Times New Roman" w:hAnsi="Times New Roman" w:cs="Times New Roman"/>
          <w:b/>
          <w:color w:val="auto"/>
          <w:sz w:val="22"/>
          <w:szCs w:val="22"/>
          <w:lang w:eastAsia="ja-JP"/>
        </w:rPr>
        <w:t>3</w:t>
      </w:r>
      <w:r w:rsidRPr="00AF00C2">
        <w:rPr>
          <w:rFonts w:ascii="Times New Roman" w:hAnsi="Times New Roman" w:cs="Times New Roman"/>
          <w:b/>
          <w:color w:val="auto"/>
          <w:sz w:val="22"/>
          <w:szCs w:val="22"/>
          <w:lang w:eastAsia="ja-JP"/>
        </w:rPr>
        <w:t>.2.4. A2A SPA</w:t>
      </w:r>
    </w:p>
    <w:p w:rsidR="00507FFC" w:rsidRPr="00AF00C2" w:rsidRDefault="00507FFC" w:rsidP="002037C2">
      <w:pPr>
        <w:pStyle w:val="Default"/>
        <w:spacing w:before="80"/>
        <w:rPr>
          <w:rFonts w:ascii="Times New Roman" w:hAnsi="Times New Roman" w:cs="Times New Roman"/>
          <w:b/>
          <w:color w:val="auto"/>
          <w:sz w:val="22"/>
          <w:szCs w:val="22"/>
        </w:rPr>
      </w:pPr>
      <w:r>
        <w:rPr>
          <w:rFonts w:ascii="Times New Roman" w:hAnsi="Times New Roman" w:cs="Times New Roman"/>
          <w:b/>
          <w:color w:val="auto"/>
          <w:sz w:val="22"/>
          <w:szCs w:val="22"/>
        </w:rPr>
        <w:t>4</w:t>
      </w:r>
      <w:r w:rsidRPr="00AF00C2">
        <w:rPr>
          <w:rFonts w:ascii="Times New Roman" w:hAnsi="Times New Roman" w:cs="Times New Roman"/>
          <w:b/>
          <w:color w:val="auto"/>
          <w:sz w:val="22"/>
          <w:szCs w:val="22"/>
        </w:rPr>
        <w:t>. Mantenimento senza interventi di razionalizzazione</w:t>
      </w:r>
    </w:p>
    <w:p w:rsidR="00507FFC" w:rsidRPr="00AF00C2" w:rsidRDefault="00507FFC" w:rsidP="002037C2">
      <w:pPr>
        <w:pStyle w:val="Default"/>
        <w:spacing w:before="80"/>
        <w:rPr>
          <w:rFonts w:ascii="Times New Roman" w:hAnsi="Times New Roman" w:cs="Times New Roman"/>
          <w:b/>
          <w:color w:val="auto"/>
          <w:sz w:val="22"/>
          <w:szCs w:val="22"/>
        </w:rPr>
      </w:pPr>
      <w:r>
        <w:rPr>
          <w:rFonts w:ascii="Times New Roman" w:hAnsi="Times New Roman" w:cs="Times New Roman"/>
          <w:b/>
          <w:color w:val="auto"/>
          <w:sz w:val="22"/>
          <w:szCs w:val="22"/>
        </w:rPr>
        <w:t>5</w:t>
      </w:r>
      <w:r w:rsidRPr="00AF00C2">
        <w:rPr>
          <w:rFonts w:ascii="Times New Roman" w:hAnsi="Times New Roman" w:cs="Times New Roman"/>
          <w:b/>
          <w:color w:val="auto"/>
          <w:sz w:val="22"/>
          <w:szCs w:val="22"/>
        </w:rPr>
        <w:t>.</w:t>
      </w:r>
      <w:r w:rsidRPr="00AF00C2">
        <w:rPr>
          <w:rFonts w:ascii="Times New Roman" w:hAnsi="Times New Roman" w:cs="Times New Roman"/>
          <w:b/>
          <w:bCs/>
          <w:color w:val="auto"/>
          <w:sz w:val="22"/>
          <w:szCs w:val="22"/>
        </w:rPr>
        <w:t xml:space="preserve"> A</w:t>
      </w:r>
      <w:r w:rsidRPr="00AF00C2">
        <w:rPr>
          <w:rFonts w:ascii="Times New Roman" w:hAnsi="Times New Roman" w:cs="Times New Roman"/>
          <w:b/>
          <w:color w:val="auto"/>
          <w:sz w:val="22"/>
          <w:szCs w:val="22"/>
        </w:rPr>
        <w:t>zioni di razionalizzazione</w:t>
      </w:r>
    </w:p>
    <w:p w:rsidR="00507FFC" w:rsidRPr="00AF00C2" w:rsidRDefault="00507FFC" w:rsidP="002037C2">
      <w:pPr>
        <w:pStyle w:val="Default"/>
        <w:spacing w:before="80"/>
        <w:ind w:left="567"/>
        <w:rPr>
          <w:rFonts w:ascii="Times New Roman" w:hAnsi="Times New Roman" w:cs="Times New Roman"/>
          <w:b/>
          <w:color w:val="auto"/>
          <w:sz w:val="22"/>
          <w:szCs w:val="22"/>
        </w:rPr>
      </w:pPr>
      <w:r w:rsidRPr="00AF00C2">
        <w:rPr>
          <w:rFonts w:ascii="Times New Roman" w:hAnsi="Times New Roman" w:cs="Times New Roman"/>
          <w:b/>
          <w:color w:val="auto"/>
          <w:sz w:val="22"/>
          <w:szCs w:val="22"/>
        </w:rPr>
        <w:t>05.01. Contenimento costi</w:t>
      </w:r>
    </w:p>
    <w:p w:rsidR="00507FFC" w:rsidRPr="00AF00C2" w:rsidRDefault="00507FFC" w:rsidP="002037C2">
      <w:pPr>
        <w:pStyle w:val="Default"/>
        <w:spacing w:before="80"/>
        <w:ind w:left="567"/>
        <w:rPr>
          <w:rFonts w:ascii="Times New Roman" w:hAnsi="Times New Roman" w:cs="Times New Roman"/>
          <w:b/>
          <w:color w:val="auto"/>
          <w:sz w:val="22"/>
          <w:szCs w:val="22"/>
        </w:rPr>
      </w:pPr>
      <w:r w:rsidRPr="00AF00C2">
        <w:rPr>
          <w:rFonts w:ascii="Times New Roman" w:hAnsi="Times New Roman" w:cs="Times New Roman"/>
          <w:b/>
          <w:color w:val="auto"/>
          <w:sz w:val="22"/>
          <w:szCs w:val="22"/>
        </w:rPr>
        <w:t>05.02. Cessione/Alienazione quote</w:t>
      </w:r>
    </w:p>
    <w:p w:rsidR="00507FFC" w:rsidRPr="00AF00C2" w:rsidRDefault="00507FFC" w:rsidP="002037C2">
      <w:pPr>
        <w:pStyle w:val="Default"/>
        <w:spacing w:before="80"/>
        <w:ind w:left="567"/>
        <w:rPr>
          <w:rFonts w:ascii="Times New Roman" w:hAnsi="Times New Roman" w:cs="Times New Roman"/>
          <w:b/>
          <w:color w:val="auto"/>
          <w:sz w:val="22"/>
          <w:szCs w:val="22"/>
        </w:rPr>
      </w:pPr>
      <w:r w:rsidRPr="00AF00C2">
        <w:rPr>
          <w:rFonts w:ascii="Times New Roman" w:hAnsi="Times New Roman" w:cs="Times New Roman"/>
          <w:b/>
          <w:color w:val="auto"/>
          <w:sz w:val="22"/>
          <w:szCs w:val="22"/>
        </w:rPr>
        <w:t>05.03. Liquidazione</w:t>
      </w:r>
    </w:p>
    <w:p w:rsidR="00507FFC" w:rsidRPr="00AF00C2" w:rsidRDefault="00507FFC" w:rsidP="002037C2">
      <w:pPr>
        <w:pStyle w:val="Default"/>
        <w:spacing w:before="80"/>
        <w:ind w:left="567"/>
        <w:rPr>
          <w:rFonts w:ascii="Times New Roman" w:hAnsi="Times New Roman" w:cs="Times New Roman"/>
          <w:b/>
          <w:color w:val="auto"/>
          <w:sz w:val="22"/>
          <w:szCs w:val="22"/>
        </w:rPr>
      </w:pPr>
      <w:r w:rsidRPr="00AF00C2">
        <w:rPr>
          <w:rFonts w:ascii="Times New Roman" w:hAnsi="Times New Roman" w:cs="Times New Roman"/>
          <w:b/>
          <w:color w:val="auto"/>
          <w:sz w:val="22"/>
          <w:szCs w:val="22"/>
        </w:rPr>
        <w:t>05.04. Fusione/Incorporazione</w:t>
      </w:r>
    </w:p>
    <w:p w:rsidR="00507FFC" w:rsidRPr="00AF00C2" w:rsidRDefault="00507FFC" w:rsidP="002037C2">
      <w:pPr>
        <w:pStyle w:val="Default"/>
        <w:spacing w:before="80"/>
        <w:ind w:left="567"/>
        <w:rPr>
          <w:rFonts w:ascii="Times New Roman" w:hAnsi="Times New Roman" w:cs="Times New Roman"/>
          <w:b/>
          <w:color w:val="auto"/>
          <w:sz w:val="22"/>
          <w:szCs w:val="22"/>
        </w:rPr>
      </w:pPr>
      <w:r w:rsidRPr="00AF00C2">
        <w:rPr>
          <w:rFonts w:ascii="Times New Roman" w:hAnsi="Times New Roman" w:cs="Times New Roman"/>
          <w:b/>
          <w:color w:val="auto"/>
          <w:sz w:val="22"/>
          <w:szCs w:val="22"/>
        </w:rPr>
        <w:t>05.05. Riepilogo</w:t>
      </w:r>
    </w:p>
    <w:p w:rsidR="00507FFC" w:rsidRPr="00AF00C2" w:rsidRDefault="00507FFC" w:rsidP="00127700">
      <w:pPr>
        <w:pStyle w:val="Default"/>
        <w:ind w:left="851"/>
        <w:rPr>
          <w:rFonts w:ascii="Times New Roman" w:hAnsi="Times New Roman" w:cs="Times New Roman"/>
          <w:b/>
          <w:color w:val="auto"/>
          <w:sz w:val="22"/>
          <w:szCs w:val="22"/>
          <w:lang w:val="en-GB" w:eastAsia="ja-JP"/>
        </w:rPr>
      </w:pPr>
    </w:p>
    <w:p w:rsidR="00507FFC" w:rsidRPr="00AF00C2" w:rsidRDefault="00507FFC" w:rsidP="00127700">
      <w:pPr>
        <w:pStyle w:val="Default"/>
        <w:ind w:left="851"/>
        <w:rPr>
          <w:rFonts w:ascii="Times New Roman" w:hAnsi="Times New Roman" w:cs="Times New Roman"/>
          <w:b/>
          <w:color w:val="auto"/>
          <w:sz w:val="22"/>
          <w:szCs w:val="22"/>
          <w:lang w:val="en-GB" w:eastAsia="ja-JP"/>
        </w:rPr>
      </w:pPr>
    </w:p>
    <w:p w:rsidR="00507FFC" w:rsidRPr="00AF00C2" w:rsidRDefault="00507FFC" w:rsidP="00CC5F2A">
      <w:pPr>
        <w:pStyle w:val="Default"/>
        <w:numPr>
          <w:ilvl w:val="0"/>
          <w:numId w:val="2"/>
        </w:numPr>
        <w:spacing w:line="360" w:lineRule="auto"/>
        <w:ind w:left="0" w:firstLine="0"/>
        <w:rPr>
          <w:rFonts w:ascii="Times New Roman" w:hAnsi="Times New Roman" w:cs="Times New Roman"/>
          <w:b/>
          <w:color w:val="auto"/>
        </w:rPr>
      </w:pPr>
      <w:r w:rsidRPr="00AF00C2">
        <w:rPr>
          <w:rFonts w:ascii="Times New Roman" w:hAnsi="Times New Roman"/>
          <w:b/>
          <w:color w:val="auto"/>
        </w:rPr>
        <w:t>Relazione tecnica alla revisione annuale delle partecipazioni societarie anno 202</w:t>
      </w:r>
      <w:r>
        <w:rPr>
          <w:rFonts w:ascii="Times New Roman" w:hAnsi="Times New Roman"/>
          <w:b/>
          <w:color w:val="auto"/>
        </w:rPr>
        <w:t>5</w:t>
      </w:r>
    </w:p>
    <w:p w:rsidR="00507FFC" w:rsidRPr="00AF00C2" w:rsidRDefault="00507FFC" w:rsidP="005D5774">
      <w:pPr>
        <w:pStyle w:val="Default"/>
        <w:spacing w:line="360" w:lineRule="auto"/>
        <w:rPr>
          <w:rFonts w:ascii="Times New Roman" w:hAnsi="Times New Roman" w:cs="Times New Roman"/>
          <w:b/>
          <w:color w:val="auto"/>
        </w:rPr>
      </w:pPr>
    </w:p>
    <w:p w:rsidR="00507FFC" w:rsidRPr="00AF00C2" w:rsidRDefault="00507FFC" w:rsidP="006F010C">
      <w:pPr>
        <w:autoSpaceDE w:val="0"/>
        <w:autoSpaceDN w:val="0"/>
        <w:adjustRightInd w:val="0"/>
        <w:spacing w:after="0" w:line="480" w:lineRule="auto"/>
        <w:rPr>
          <w:rFonts w:ascii="Times New Roman" w:hAnsi="Times New Roman"/>
          <w:b/>
          <w:sz w:val="24"/>
          <w:szCs w:val="24"/>
          <w:lang w:eastAsia="it-IT"/>
        </w:rPr>
      </w:pPr>
      <w:r w:rsidRPr="00AF00C2">
        <w:rPr>
          <w:rFonts w:ascii="Times New Roman" w:hAnsi="Times New Roman"/>
          <w:b/>
          <w:sz w:val="24"/>
          <w:szCs w:val="24"/>
          <w:lang w:eastAsia="it-IT"/>
        </w:rPr>
        <w:t>1.1 Il quadro d’insieme normativo di riferimento</w:t>
      </w:r>
    </w:p>
    <w:p w:rsidR="00507FFC" w:rsidRPr="007C273E" w:rsidRDefault="00507FFC" w:rsidP="006F010C">
      <w:pPr>
        <w:autoSpaceDE w:val="0"/>
        <w:autoSpaceDN w:val="0"/>
        <w:adjustRightInd w:val="0"/>
        <w:spacing w:after="0" w:line="480" w:lineRule="auto"/>
        <w:jc w:val="both"/>
        <w:rPr>
          <w:rFonts w:ascii="Times New Roman" w:hAnsi="Times New Roman"/>
          <w:sz w:val="24"/>
          <w:szCs w:val="24"/>
          <w:lang w:eastAsia="it-IT"/>
        </w:rPr>
      </w:pPr>
      <w:r w:rsidRPr="007C273E">
        <w:rPr>
          <w:rFonts w:ascii="Times New Roman" w:hAnsi="Times New Roman"/>
          <w:sz w:val="24"/>
          <w:szCs w:val="24"/>
          <w:lang w:eastAsia="it-IT"/>
        </w:rPr>
        <w:lastRenderedPageBreak/>
        <w:t>Già la</w:t>
      </w:r>
      <w:r w:rsidRPr="007C273E">
        <w:rPr>
          <w:rFonts w:ascii="Times New Roman" w:hAnsi="Times New Roman"/>
          <w:iCs/>
          <w:sz w:val="24"/>
          <w:szCs w:val="24"/>
          <w:lang w:eastAsia="it-IT"/>
        </w:rPr>
        <w:t xml:space="preserve"> legge finanziaria 2008 (art. 3, comma 27 della Legge 24/12/2007, n.</w:t>
      </w:r>
      <w:r w:rsidRPr="007C273E">
        <w:rPr>
          <w:rFonts w:ascii="Times New Roman" w:hAnsi="Times New Roman"/>
          <w:sz w:val="24"/>
          <w:szCs w:val="24"/>
          <w:lang w:eastAsia="it-IT"/>
        </w:rPr>
        <w:t xml:space="preserve"> 244) prevedeva che gli enti locali non potessero “</w:t>
      </w:r>
      <w:r w:rsidRPr="007C273E">
        <w:rPr>
          <w:rFonts w:ascii="Times New Roman" w:hAnsi="Times New Roman"/>
          <w:i/>
          <w:sz w:val="24"/>
          <w:szCs w:val="24"/>
          <w:lang w:eastAsia="it-IT"/>
        </w:rPr>
        <w:t>costituire società aventi per oggetto attività di produzione di beni e di servizi non strettamente necessarie per il perseguimento delle proprie finalità istituzionali, né assumere o mantenere direttamente partecipazioni, anche di minoranza, in tali società”</w:t>
      </w:r>
      <w:r w:rsidRPr="007C273E">
        <w:rPr>
          <w:rFonts w:ascii="Times New Roman" w:hAnsi="Times New Roman"/>
          <w:sz w:val="24"/>
          <w:szCs w:val="24"/>
          <w:lang w:eastAsia="it-IT"/>
        </w:rPr>
        <w:t>.</w:t>
      </w:r>
    </w:p>
    <w:p w:rsidR="00507FFC" w:rsidRPr="007C273E" w:rsidRDefault="00507FFC" w:rsidP="006F010C">
      <w:pPr>
        <w:autoSpaceDE w:val="0"/>
        <w:autoSpaceDN w:val="0"/>
        <w:adjustRightInd w:val="0"/>
        <w:spacing w:after="0" w:line="480" w:lineRule="auto"/>
        <w:jc w:val="both"/>
        <w:rPr>
          <w:rFonts w:ascii="Times New Roman" w:hAnsi="Times New Roman"/>
          <w:sz w:val="24"/>
          <w:szCs w:val="24"/>
          <w:lang w:eastAsia="it-IT"/>
        </w:rPr>
      </w:pPr>
      <w:r w:rsidRPr="007C273E">
        <w:rPr>
          <w:rFonts w:ascii="Times New Roman" w:hAnsi="Times New Roman"/>
          <w:sz w:val="24"/>
          <w:szCs w:val="24"/>
          <w:lang w:eastAsia="it-IT"/>
        </w:rPr>
        <w:t xml:space="preserve">Successivamente, la legge di stabilità per l’anno 2015 (art. 1, comma 611 della Legge 23/12/2014, n. 190) ha disposto che le pubbliche amministrazioni </w:t>
      </w:r>
      <w:r w:rsidRPr="007C273E">
        <w:rPr>
          <w:rFonts w:ascii="Times New Roman" w:hAnsi="Times New Roman"/>
          <w:i/>
          <w:sz w:val="24"/>
          <w:szCs w:val="24"/>
          <w:lang w:eastAsia="it-IT"/>
        </w:rPr>
        <w:t>“</w:t>
      </w:r>
      <w:r w:rsidRPr="007C273E">
        <w:rPr>
          <w:rFonts w:ascii="Times New Roman" w:hAnsi="Times New Roman"/>
          <w:i/>
          <w:sz w:val="24"/>
          <w:szCs w:val="24"/>
        </w:rPr>
        <w:t>avviano un processo di razionalizzazione delle società e delle partecipazioni societarie direttamente o indirettamente possedute”</w:t>
      </w:r>
      <w:r w:rsidRPr="007C273E">
        <w:rPr>
          <w:rFonts w:ascii="Times New Roman" w:hAnsi="Times New Roman"/>
          <w:i/>
          <w:sz w:val="24"/>
          <w:szCs w:val="24"/>
          <w:lang w:eastAsia="it-IT"/>
        </w:rPr>
        <w:t xml:space="preserve"> </w:t>
      </w:r>
      <w:r w:rsidRPr="007C273E">
        <w:rPr>
          <w:rFonts w:ascii="Times New Roman" w:hAnsi="Times New Roman"/>
          <w:sz w:val="24"/>
          <w:szCs w:val="24"/>
          <w:lang w:eastAsia="it-IT"/>
        </w:rPr>
        <w:t>con finalità di contenimento della spesa. Tale nuovo percorso si inseriva nel quadro di un obiettivo generale legato al buon andamento dell’azione amministrativa e alla tutela della concorrenza e del mercato, nonché di un obiettivo particolare volto, ove ne ricorrano i presupposti, alla riduzione del numero delle società pubbliche.</w:t>
      </w:r>
    </w:p>
    <w:p w:rsidR="00507FFC" w:rsidRPr="007C273E" w:rsidRDefault="00507FFC" w:rsidP="006F010C">
      <w:pPr>
        <w:autoSpaceDE w:val="0"/>
        <w:autoSpaceDN w:val="0"/>
        <w:adjustRightInd w:val="0"/>
        <w:spacing w:after="0" w:line="480" w:lineRule="auto"/>
        <w:jc w:val="both"/>
        <w:rPr>
          <w:rFonts w:ascii="Times New Roman" w:hAnsi="Times New Roman"/>
          <w:sz w:val="24"/>
          <w:szCs w:val="24"/>
          <w:lang w:eastAsia="it-IT"/>
        </w:rPr>
      </w:pPr>
      <w:r w:rsidRPr="007C273E">
        <w:rPr>
          <w:rFonts w:ascii="Times New Roman" w:hAnsi="Times New Roman"/>
          <w:sz w:val="24"/>
          <w:szCs w:val="24"/>
          <w:lang w:eastAsia="it-IT"/>
        </w:rPr>
        <w:t>Da ultimo il d.lgs. 19/08/2016, n.175, Testo Unico in materia di società a partecipazione pubblica, entrato in vigore il 23/09/2016 e successivamente modificato dal d.lgs. 16/06/2017, n. 100, rappresenta la nuova disciplina in materia, con portata generale e criterio sistematico.</w:t>
      </w:r>
    </w:p>
    <w:p w:rsidR="00507FFC" w:rsidRPr="007C273E" w:rsidRDefault="00507FFC" w:rsidP="006F010C">
      <w:pPr>
        <w:shd w:val="clear" w:color="auto" w:fill="FFFFFF"/>
        <w:spacing w:after="0" w:line="480" w:lineRule="auto"/>
        <w:jc w:val="both"/>
        <w:outlineLvl w:val="2"/>
        <w:rPr>
          <w:rFonts w:ascii="Times New Roman" w:hAnsi="Times New Roman"/>
          <w:sz w:val="24"/>
          <w:szCs w:val="24"/>
          <w:lang w:eastAsia="it-IT"/>
        </w:rPr>
      </w:pPr>
      <w:r w:rsidRPr="007C273E">
        <w:rPr>
          <w:rFonts w:ascii="Times New Roman" w:hAnsi="Times New Roman"/>
          <w:sz w:val="24"/>
          <w:szCs w:val="24"/>
          <w:lang w:eastAsia="it-IT"/>
        </w:rPr>
        <w:t>Il 23/11/2018 la “</w:t>
      </w:r>
      <w:hyperlink r:id="rId9" w:history="1">
        <w:r w:rsidRPr="007C273E">
          <w:rPr>
            <w:rFonts w:ascii="Times New Roman" w:hAnsi="Times New Roman"/>
            <w:i/>
            <w:sz w:val="24"/>
            <w:szCs w:val="24"/>
            <w:lang w:eastAsia="it-IT"/>
          </w:rPr>
          <w:t>Struttura di indirizzo, monitoraggio e controllo sull’attuazione testo unico in materia di società a partecipazione pubblica</w:t>
        </w:r>
        <w:r w:rsidRPr="007C273E">
          <w:rPr>
            <w:rFonts w:ascii="Times New Roman" w:hAnsi="Times New Roman"/>
            <w:sz w:val="24"/>
            <w:szCs w:val="24"/>
            <w:lang w:eastAsia="it-IT"/>
          </w:rPr>
          <w:t>” presso il Dipartimento del Tesoro</w:t>
        </w:r>
      </w:hyperlink>
      <w:r w:rsidRPr="007C273E">
        <w:rPr>
          <w:rFonts w:ascii="Times New Roman" w:hAnsi="Times New Roman"/>
          <w:sz w:val="24"/>
          <w:szCs w:val="24"/>
          <w:lang w:eastAsia="it-IT"/>
        </w:rPr>
        <w:t> ha predisposto e pubblicato apposite “</w:t>
      </w:r>
      <w:r w:rsidRPr="007C273E">
        <w:rPr>
          <w:rFonts w:ascii="Times New Roman" w:hAnsi="Times New Roman"/>
          <w:bCs/>
          <w:i/>
          <w:sz w:val="24"/>
          <w:szCs w:val="24"/>
          <w:lang w:eastAsia="it-IT"/>
        </w:rPr>
        <w:t>Linee guida</w:t>
      </w:r>
      <w:r w:rsidRPr="007C273E">
        <w:rPr>
          <w:rFonts w:ascii="Times New Roman" w:hAnsi="Times New Roman"/>
          <w:bCs/>
          <w:sz w:val="24"/>
          <w:szCs w:val="24"/>
          <w:lang w:eastAsia="it-IT"/>
        </w:rPr>
        <w:t>”</w:t>
      </w:r>
      <w:r w:rsidRPr="007C273E">
        <w:rPr>
          <w:rFonts w:ascii="Times New Roman" w:hAnsi="Times New Roman"/>
          <w:sz w:val="24"/>
          <w:szCs w:val="24"/>
          <w:lang w:eastAsia="it-IT"/>
        </w:rPr>
        <w:t>, condivise con la Corte dei conti, per fornire chiarimenti sull’applicazione di talune disposizioni del d.lgs. 19/08/2016, n.175. Esse contengono anche uno “</w:t>
      </w:r>
      <w:r w:rsidRPr="007C273E">
        <w:rPr>
          <w:rFonts w:ascii="Times New Roman" w:hAnsi="Times New Roman"/>
          <w:i/>
          <w:sz w:val="24"/>
          <w:szCs w:val="24"/>
          <w:lang w:eastAsia="it-IT"/>
        </w:rPr>
        <w:t>schema tipo</w:t>
      </w:r>
      <w:r w:rsidRPr="007C273E">
        <w:rPr>
          <w:rFonts w:ascii="Times New Roman" w:hAnsi="Times New Roman"/>
          <w:sz w:val="24"/>
          <w:szCs w:val="24"/>
          <w:lang w:eastAsia="it-IT"/>
        </w:rPr>
        <w:t>” per la redazione del provvedimento di razionalizzazione delle partecipazioni che le Pubbliche Amministrazioni devono adottare, entro il 31 dicembre di ogni anno, ai sensi dell’art. 20 del d.lgs. 19/08/2016, n.175.</w:t>
      </w:r>
    </w:p>
    <w:p w:rsidR="00507FFC" w:rsidRPr="007C273E" w:rsidRDefault="00507FFC" w:rsidP="00A2379F">
      <w:pPr>
        <w:shd w:val="clear" w:color="auto" w:fill="FFFFFF"/>
        <w:spacing w:after="0" w:line="480" w:lineRule="auto"/>
        <w:jc w:val="both"/>
        <w:outlineLvl w:val="2"/>
        <w:rPr>
          <w:rFonts w:ascii="Times New Roman" w:hAnsi="Times New Roman"/>
          <w:sz w:val="24"/>
          <w:szCs w:val="24"/>
        </w:rPr>
      </w:pPr>
      <w:r w:rsidRPr="007C273E">
        <w:rPr>
          <w:rFonts w:ascii="Times New Roman" w:hAnsi="Times New Roman"/>
          <w:sz w:val="24"/>
          <w:szCs w:val="24"/>
          <w:lang w:eastAsia="it-IT"/>
        </w:rPr>
        <w:t xml:space="preserve">La Corte dei Conti – Sezione delle Autonomie con deliberazione 21/12/2018, n. </w:t>
      </w:r>
      <w:smartTag w:uri="urn:schemas-microsoft-com:office:smarttags" w:element="metricconverter">
        <w:smartTagPr>
          <w:attr w:name="ProductID" w:val="22 ha"/>
        </w:smartTagPr>
        <w:r w:rsidRPr="007C273E">
          <w:rPr>
            <w:rFonts w:ascii="Times New Roman" w:hAnsi="Times New Roman"/>
            <w:sz w:val="24"/>
            <w:szCs w:val="24"/>
            <w:lang w:eastAsia="it-IT"/>
          </w:rPr>
          <w:t>22 ha</w:t>
        </w:r>
      </w:smartTag>
      <w:r w:rsidRPr="007C273E">
        <w:rPr>
          <w:rFonts w:ascii="Times New Roman" w:hAnsi="Times New Roman"/>
          <w:sz w:val="24"/>
          <w:szCs w:val="24"/>
          <w:lang w:eastAsia="it-IT"/>
        </w:rPr>
        <w:t xml:space="preserve"> adottato le “</w:t>
      </w:r>
      <w:r w:rsidRPr="007C273E">
        <w:rPr>
          <w:rFonts w:ascii="Times New Roman" w:hAnsi="Times New Roman"/>
          <w:i/>
          <w:sz w:val="24"/>
          <w:szCs w:val="24"/>
          <w:lang w:eastAsia="it-IT"/>
        </w:rPr>
        <w:t>Linee di indirizzo per la revisione ordinaria (2018) delle partecipazioni di cui all’art. 20, d.lgs. n. 175/2016</w:t>
      </w:r>
      <w:r w:rsidRPr="007C273E">
        <w:rPr>
          <w:rFonts w:ascii="Times New Roman" w:hAnsi="Times New Roman"/>
          <w:sz w:val="24"/>
          <w:szCs w:val="24"/>
          <w:lang w:eastAsia="it-IT"/>
        </w:rPr>
        <w:t>” e</w:t>
      </w:r>
      <w:r w:rsidRPr="007C273E">
        <w:rPr>
          <w:rFonts w:ascii="Times New Roman" w:hAnsi="Times New Roman"/>
          <w:sz w:val="24"/>
          <w:szCs w:val="24"/>
        </w:rPr>
        <w:t xml:space="preserve"> il modello </w:t>
      </w:r>
      <w:r w:rsidRPr="007C273E">
        <w:rPr>
          <w:rFonts w:ascii="Times New Roman" w:hAnsi="Times New Roman"/>
          <w:i/>
          <w:sz w:val="24"/>
          <w:szCs w:val="24"/>
        </w:rPr>
        <w:t>standard</w:t>
      </w:r>
      <w:r w:rsidRPr="007C273E">
        <w:rPr>
          <w:rFonts w:ascii="Times New Roman" w:hAnsi="Times New Roman"/>
          <w:sz w:val="24"/>
          <w:szCs w:val="24"/>
        </w:rPr>
        <w:t xml:space="preserve"> di atto di ricognizione e relativi esiti, per il corretto adempimento, da parte degli Enti territoriali, delle disposizioni di cui all’art. 20 del d.lgs. </w:t>
      </w:r>
      <w:r w:rsidRPr="007C273E">
        <w:rPr>
          <w:rFonts w:ascii="Times New Roman" w:hAnsi="Times New Roman"/>
          <w:sz w:val="24"/>
          <w:szCs w:val="24"/>
          <w:lang w:eastAsia="it-IT"/>
        </w:rPr>
        <w:t>19/08/2016, n.175.</w:t>
      </w:r>
      <w:r w:rsidRPr="007C273E">
        <w:rPr>
          <w:rFonts w:ascii="Times New Roman" w:hAnsi="Times New Roman"/>
          <w:sz w:val="24"/>
          <w:szCs w:val="24"/>
        </w:rPr>
        <w:t xml:space="preserve"> </w:t>
      </w:r>
    </w:p>
    <w:p w:rsidR="00507FFC" w:rsidRPr="007C273E" w:rsidRDefault="00507FFC" w:rsidP="00A2379F">
      <w:pPr>
        <w:shd w:val="clear" w:color="auto" w:fill="FFFFFF"/>
        <w:spacing w:after="0" w:line="480" w:lineRule="auto"/>
        <w:jc w:val="both"/>
        <w:outlineLvl w:val="2"/>
        <w:rPr>
          <w:rFonts w:ascii="Times New Roman" w:hAnsi="Times New Roman"/>
          <w:sz w:val="24"/>
          <w:szCs w:val="24"/>
        </w:rPr>
      </w:pPr>
      <w:r w:rsidRPr="007C273E">
        <w:rPr>
          <w:rFonts w:ascii="Times New Roman" w:hAnsi="Times New Roman"/>
          <w:sz w:val="24"/>
          <w:szCs w:val="24"/>
        </w:rPr>
        <w:lastRenderedPageBreak/>
        <w:t>Tale atto si pone in continuità logico-sistematica con la precedente deliberazione 21/07/2017, n. 19, adottata dalla stessa Sezione con riferimento alle “</w:t>
      </w:r>
      <w:r w:rsidRPr="007C273E">
        <w:rPr>
          <w:rFonts w:ascii="Times New Roman" w:hAnsi="Times New Roman"/>
          <w:i/>
          <w:iCs/>
          <w:sz w:val="24"/>
          <w:szCs w:val="24"/>
        </w:rPr>
        <w:t>Linee di indirizzo per la revisione straordinaria delle partecipazioni ai sensi dell’art. 24 del d.lgs. n. 175/2016</w:t>
      </w:r>
      <w:r w:rsidRPr="007C273E">
        <w:rPr>
          <w:rFonts w:ascii="Times New Roman" w:hAnsi="Times New Roman"/>
          <w:sz w:val="24"/>
          <w:szCs w:val="24"/>
        </w:rPr>
        <w:t>”.</w:t>
      </w:r>
    </w:p>
    <w:p w:rsidR="00507FFC" w:rsidRPr="007C273E" w:rsidRDefault="00507FFC" w:rsidP="00810B5C">
      <w:pPr>
        <w:shd w:val="clear" w:color="auto" w:fill="FFFFFF"/>
        <w:spacing w:after="0" w:line="480" w:lineRule="auto"/>
        <w:jc w:val="both"/>
        <w:outlineLvl w:val="2"/>
        <w:rPr>
          <w:rFonts w:ascii="Times New Roman" w:hAnsi="Times New Roman"/>
          <w:sz w:val="24"/>
          <w:szCs w:val="24"/>
        </w:rPr>
      </w:pPr>
      <w:r w:rsidRPr="007C273E">
        <w:rPr>
          <w:rFonts w:ascii="Times New Roman" w:hAnsi="Times New Roman"/>
          <w:sz w:val="24"/>
          <w:szCs w:val="24"/>
        </w:rPr>
        <w:t>Il modello predisposto dal Dipartimento del Tesoro del Ministero dell’economia e finanze, nell’apposito applicativo denominato “</w:t>
      </w:r>
      <w:r w:rsidRPr="007C273E">
        <w:rPr>
          <w:rFonts w:ascii="Times New Roman" w:hAnsi="Times New Roman"/>
          <w:i/>
          <w:iCs/>
          <w:sz w:val="24"/>
          <w:szCs w:val="24"/>
        </w:rPr>
        <w:t>Partecipazioni</w:t>
      </w:r>
      <w:r w:rsidRPr="007C273E">
        <w:rPr>
          <w:rFonts w:ascii="Times New Roman" w:hAnsi="Times New Roman"/>
          <w:sz w:val="24"/>
          <w:szCs w:val="24"/>
        </w:rPr>
        <w:t xml:space="preserve">”, e il modello allegato alla deliberazione della Sezione delle autonomie della Corte dei conti </w:t>
      </w:r>
      <w:r w:rsidRPr="007C273E">
        <w:rPr>
          <w:rFonts w:ascii="Times New Roman" w:hAnsi="Times New Roman"/>
          <w:sz w:val="24"/>
          <w:szCs w:val="24"/>
          <w:lang w:eastAsia="it-IT"/>
        </w:rPr>
        <w:t xml:space="preserve">21/12/2018, </w:t>
      </w:r>
      <w:r w:rsidRPr="007C273E">
        <w:rPr>
          <w:rFonts w:ascii="Times New Roman" w:hAnsi="Times New Roman"/>
          <w:sz w:val="24"/>
          <w:szCs w:val="24"/>
        </w:rPr>
        <w:t xml:space="preserve">n. 22/SEZAUT/2018/INPR, pur richiedendo le stesse informazioni, sono strutturati in modo diverso. </w:t>
      </w:r>
    </w:p>
    <w:p w:rsidR="00507FFC" w:rsidRPr="007C273E" w:rsidRDefault="00507FFC" w:rsidP="00810B5C">
      <w:pPr>
        <w:shd w:val="clear" w:color="auto" w:fill="FFFFFF"/>
        <w:spacing w:after="0" w:line="480" w:lineRule="auto"/>
        <w:jc w:val="both"/>
        <w:outlineLvl w:val="2"/>
        <w:rPr>
          <w:rFonts w:ascii="Times New Roman" w:hAnsi="Times New Roman"/>
          <w:sz w:val="24"/>
          <w:szCs w:val="24"/>
        </w:rPr>
      </w:pPr>
      <w:r w:rsidRPr="007C273E">
        <w:rPr>
          <w:rFonts w:ascii="Times New Roman" w:hAnsi="Times New Roman"/>
          <w:sz w:val="24"/>
          <w:szCs w:val="24"/>
        </w:rPr>
        <w:t>In tale situazione si è posto il problema sulla documentazione da trasmettere alla Corte dei Conti – Sezione di controllo, unitamente alla deliberazione di approvazione della revisione ordinaria delle partecipazioni detenute direttamente o indirettamente dai Comuni, ossia se dovessero essere utilizzati i modelli resi disponibili dal Dipartimento del Tesoro del Ministero dell’economia e finanze, nell’apposito applicativo denominato “</w:t>
      </w:r>
      <w:r w:rsidRPr="007C273E">
        <w:rPr>
          <w:rFonts w:ascii="Times New Roman" w:hAnsi="Times New Roman"/>
          <w:i/>
          <w:iCs/>
          <w:sz w:val="24"/>
          <w:szCs w:val="24"/>
        </w:rPr>
        <w:t>Partecipazioni</w:t>
      </w:r>
      <w:r w:rsidRPr="007C273E">
        <w:rPr>
          <w:rFonts w:ascii="Times New Roman" w:hAnsi="Times New Roman"/>
          <w:sz w:val="24"/>
          <w:szCs w:val="24"/>
        </w:rPr>
        <w:t xml:space="preserve">”, ovvero il modello allegato alla deliberazione della Sezione delle autonomie della Corte dei conti </w:t>
      </w:r>
      <w:r w:rsidRPr="007C273E">
        <w:rPr>
          <w:rFonts w:ascii="Times New Roman" w:hAnsi="Times New Roman"/>
          <w:sz w:val="24"/>
          <w:szCs w:val="24"/>
          <w:lang w:eastAsia="it-IT"/>
        </w:rPr>
        <w:t xml:space="preserve">21/12/2018, </w:t>
      </w:r>
      <w:r w:rsidRPr="007C273E">
        <w:rPr>
          <w:rFonts w:ascii="Times New Roman" w:hAnsi="Times New Roman"/>
          <w:sz w:val="24"/>
          <w:szCs w:val="24"/>
        </w:rPr>
        <w:t xml:space="preserve">n. 22/SEZAUT/2018/INPR. </w:t>
      </w:r>
    </w:p>
    <w:p w:rsidR="00507FFC" w:rsidRPr="007C273E" w:rsidRDefault="00507FFC" w:rsidP="00886827">
      <w:pPr>
        <w:shd w:val="clear" w:color="auto" w:fill="FFFFFF"/>
        <w:spacing w:after="0" w:line="480" w:lineRule="auto"/>
        <w:jc w:val="both"/>
        <w:outlineLvl w:val="2"/>
        <w:rPr>
          <w:rFonts w:ascii="Times New Roman" w:hAnsi="Times New Roman"/>
          <w:sz w:val="24"/>
          <w:szCs w:val="24"/>
          <w:lang w:eastAsia="it-IT"/>
        </w:rPr>
      </w:pPr>
      <w:r w:rsidRPr="007C273E">
        <w:rPr>
          <w:rFonts w:ascii="Times New Roman" w:hAnsi="Times New Roman"/>
          <w:sz w:val="24"/>
          <w:szCs w:val="24"/>
          <w:lang w:eastAsia="it-IT"/>
        </w:rPr>
        <w:t xml:space="preserve">La Corte dei Conti - Sezione di controllo per la regione Valle d’Aosta, con deliberazione 25/07/2019, n. </w:t>
      </w:r>
      <w:smartTag w:uri="urn:schemas-microsoft-com:office:smarttags" w:element="metricconverter">
        <w:smartTagPr>
          <w:attr w:name="ProductID" w:val="6, ha"/>
        </w:smartTagPr>
        <w:r w:rsidRPr="007C273E">
          <w:rPr>
            <w:rFonts w:ascii="Times New Roman" w:hAnsi="Times New Roman"/>
            <w:sz w:val="24"/>
            <w:szCs w:val="24"/>
            <w:lang w:eastAsia="it-IT"/>
          </w:rPr>
          <w:t>6, ha</w:t>
        </w:r>
      </w:smartTag>
      <w:r w:rsidRPr="007C273E">
        <w:rPr>
          <w:rFonts w:ascii="Times New Roman" w:hAnsi="Times New Roman"/>
          <w:sz w:val="24"/>
          <w:szCs w:val="24"/>
          <w:lang w:eastAsia="it-IT"/>
        </w:rPr>
        <w:t xml:space="preserve"> chiarito che “</w:t>
      </w:r>
      <w:r w:rsidRPr="007C273E">
        <w:rPr>
          <w:rFonts w:ascii="Times New Roman" w:hAnsi="Times New Roman"/>
          <w:i/>
          <w:sz w:val="24"/>
          <w:szCs w:val="24"/>
        </w:rPr>
        <w:t>il modello da allegare agli atti deliberativi degli Enti locali e da inviare a questa Sezione sia quello “</w:t>
      </w:r>
      <w:r w:rsidRPr="007C273E">
        <w:rPr>
          <w:rFonts w:ascii="Times New Roman" w:hAnsi="Times New Roman"/>
          <w:i/>
          <w:iCs/>
          <w:sz w:val="24"/>
          <w:szCs w:val="24"/>
        </w:rPr>
        <w:t>standard</w:t>
      </w:r>
      <w:r w:rsidRPr="007C273E">
        <w:rPr>
          <w:rFonts w:ascii="Times New Roman" w:hAnsi="Times New Roman"/>
          <w:i/>
          <w:sz w:val="24"/>
          <w:szCs w:val="24"/>
        </w:rPr>
        <w:t>” di atto di ricognizione all’uopo predisposto dalla Sezione delle autonomie, proprio al fine di agevolare l’attività di controllo di stretta competenza della Corte dei conti.</w:t>
      </w:r>
      <w:r w:rsidRPr="007C273E">
        <w:rPr>
          <w:rFonts w:ascii="Times New Roman" w:hAnsi="Times New Roman"/>
          <w:sz w:val="24"/>
          <w:szCs w:val="24"/>
        </w:rPr>
        <w:t xml:space="preserve">” Tale orientamento giuscontabile è quello attualmente seguito nella predisposizione dei Piani di razionalizzazione delle società, enti e soggetti partecipati. </w:t>
      </w:r>
    </w:p>
    <w:p w:rsidR="00507FFC" w:rsidRPr="007C273E" w:rsidRDefault="00507FFC" w:rsidP="00886827">
      <w:pPr>
        <w:shd w:val="clear" w:color="auto" w:fill="FFFFFF"/>
        <w:spacing w:after="0" w:line="480" w:lineRule="auto"/>
        <w:jc w:val="both"/>
        <w:outlineLvl w:val="2"/>
        <w:rPr>
          <w:rFonts w:ascii="Times New Roman" w:hAnsi="Times New Roman"/>
          <w:sz w:val="24"/>
          <w:szCs w:val="24"/>
        </w:rPr>
      </w:pPr>
      <w:r w:rsidRPr="007C273E">
        <w:rPr>
          <w:rFonts w:ascii="Times New Roman" w:hAnsi="Times New Roman"/>
          <w:sz w:val="24"/>
          <w:szCs w:val="24"/>
          <w:lang w:eastAsia="it-IT"/>
        </w:rPr>
        <w:t xml:space="preserve">Di conseguenza per la redazione del presente Piano di razionalizzazione è stato </w:t>
      </w:r>
      <w:r w:rsidRPr="007C273E">
        <w:rPr>
          <w:rFonts w:ascii="Times New Roman" w:hAnsi="Times New Roman"/>
          <w:sz w:val="24"/>
          <w:szCs w:val="24"/>
        </w:rPr>
        <w:t xml:space="preserve">utilizzato il modello allegato alla deliberazione della Sezione delle autonomie della Corte dei conti </w:t>
      </w:r>
      <w:r w:rsidRPr="007C273E">
        <w:rPr>
          <w:rFonts w:ascii="Times New Roman" w:hAnsi="Times New Roman"/>
          <w:sz w:val="24"/>
          <w:szCs w:val="24"/>
          <w:lang w:eastAsia="it-IT"/>
        </w:rPr>
        <w:t>21/12/2018,</w:t>
      </w:r>
      <w:r w:rsidRPr="007C273E">
        <w:rPr>
          <w:rFonts w:ascii="Times New Roman" w:hAnsi="Times New Roman"/>
          <w:sz w:val="24"/>
          <w:szCs w:val="24"/>
        </w:rPr>
        <w:t xml:space="preserve">                                               n. 22/SEZAUT/2018/INPR. La necessaria conformità a tali coordinate ermeneutiche è confermata, tra le altre, dalla recente pronuncia della Corte dei Conti, sezione regionale di controllo per la Campania, n. 240 del 13/09/2023. Le informazioni riportate nel presente Piano sono aggiornate anche con le informazioni contenute nelle “Schede revisione periodica delle partecipazioni detenute al 31/12/2022” da approvarsi entro il 31/12/2023 ai sensi dell’art. 20, comma 1, del d.lgs. </w:t>
      </w:r>
      <w:r w:rsidRPr="007C273E">
        <w:rPr>
          <w:rFonts w:ascii="Times New Roman" w:hAnsi="Times New Roman"/>
          <w:sz w:val="24"/>
          <w:szCs w:val="24"/>
        </w:rPr>
        <w:lastRenderedPageBreak/>
        <w:t xml:space="preserve">19/08/2016, n.175, predisposte dal Ministero dell’Economia e delle Finanze e pubblicate il 20 novembre 2023. </w:t>
      </w:r>
    </w:p>
    <w:p w:rsidR="00507FFC" w:rsidRPr="007C273E" w:rsidRDefault="00507FFC" w:rsidP="006F010C">
      <w:pPr>
        <w:autoSpaceDE w:val="0"/>
        <w:autoSpaceDN w:val="0"/>
        <w:adjustRightInd w:val="0"/>
        <w:spacing w:after="0" w:line="480" w:lineRule="auto"/>
        <w:jc w:val="both"/>
        <w:rPr>
          <w:rFonts w:ascii="Times New Roman" w:hAnsi="Times New Roman"/>
          <w:b/>
          <w:sz w:val="24"/>
          <w:szCs w:val="24"/>
          <w:lang w:eastAsia="it-IT"/>
        </w:rPr>
      </w:pPr>
      <w:r w:rsidRPr="007C273E">
        <w:rPr>
          <w:rFonts w:ascii="Times New Roman" w:hAnsi="Times New Roman"/>
          <w:b/>
          <w:sz w:val="24"/>
          <w:szCs w:val="24"/>
          <w:lang w:eastAsia="it-IT"/>
        </w:rPr>
        <w:t>1.2 - Criteri di attuazione</w:t>
      </w:r>
    </w:p>
    <w:p w:rsidR="00507FFC" w:rsidRPr="007C273E" w:rsidRDefault="00507FFC" w:rsidP="006F010C">
      <w:pPr>
        <w:autoSpaceDE w:val="0"/>
        <w:autoSpaceDN w:val="0"/>
        <w:adjustRightInd w:val="0"/>
        <w:spacing w:after="0" w:line="480" w:lineRule="auto"/>
        <w:jc w:val="both"/>
        <w:rPr>
          <w:rFonts w:ascii="Times New Roman" w:hAnsi="Times New Roman"/>
          <w:sz w:val="24"/>
          <w:szCs w:val="24"/>
          <w:lang w:eastAsia="it-IT"/>
        </w:rPr>
      </w:pPr>
      <w:r w:rsidRPr="007C273E">
        <w:rPr>
          <w:rFonts w:ascii="Times New Roman" w:hAnsi="Times New Roman"/>
          <w:sz w:val="24"/>
          <w:szCs w:val="24"/>
          <w:lang w:eastAsia="it-IT"/>
        </w:rPr>
        <w:t>L’art. 20 del d.lgs. 19/08/2016, n. 175, recante “</w:t>
      </w:r>
      <w:r w:rsidRPr="007C273E">
        <w:rPr>
          <w:rFonts w:ascii="Times New Roman" w:hAnsi="Times New Roman"/>
          <w:i/>
          <w:sz w:val="24"/>
          <w:szCs w:val="24"/>
          <w:lang w:eastAsia="it-IT"/>
        </w:rPr>
        <w:t>Razionalizzazione periodica delle partecipazioni pubbliche</w:t>
      </w:r>
      <w:r w:rsidRPr="007C273E">
        <w:rPr>
          <w:rFonts w:ascii="Times New Roman" w:hAnsi="Times New Roman"/>
          <w:sz w:val="24"/>
          <w:szCs w:val="24"/>
          <w:lang w:eastAsia="it-IT"/>
        </w:rPr>
        <w:t>”, prevede che gli enti locali effettuino annualmente,</w:t>
      </w:r>
      <w:r w:rsidRPr="007C273E">
        <w:rPr>
          <w:rFonts w:ascii="Times New Roman" w:hAnsi="Times New Roman"/>
          <w:sz w:val="24"/>
          <w:szCs w:val="24"/>
        </w:rPr>
        <w:t xml:space="preserve"> entro il 31 dicembre di ogni anno,</w:t>
      </w:r>
      <w:r w:rsidRPr="007C273E">
        <w:rPr>
          <w:rFonts w:ascii="Times New Roman" w:hAnsi="Times New Roman"/>
          <w:sz w:val="24"/>
          <w:szCs w:val="24"/>
          <w:lang w:eastAsia="it-IT"/>
        </w:rPr>
        <w:t xml:space="preserve"> “</w:t>
      </w:r>
      <w:r w:rsidRPr="007C273E">
        <w:rPr>
          <w:rFonts w:ascii="Times New Roman" w:hAnsi="Times New Roman"/>
          <w:i/>
          <w:sz w:val="24"/>
          <w:szCs w:val="24"/>
          <w:lang w:eastAsia="it-IT"/>
        </w:rPr>
        <w:t>con provvedimento motivato, un'analisi dell'assetto complessivo delle società in cui detengono partecipazioni, dirette o indirette, predisponendo, ove ricorrano i presupposti di cui al comma 2, un piano di riassetto per la loro razionalizzazione, fusione o soppressione, anche mediante messa in liquidazione o cessione</w:t>
      </w:r>
      <w:r w:rsidRPr="007C273E">
        <w:rPr>
          <w:rFonts w:ascii="Times New Roman" w:hAnsi="Times New Roman"/>
          <w:sz w:val="24"/>
          <w:szCs w:val="24"/>
          <w:lang w:eastAsia="it-IT"/>
        </w:rPr>
        <w:t>”. L’art. 26, comma 11 del d.lgs. 19/08/2016, n.175 precisa che alla razionalizzazione periodica di cui all'articolo 20 si procede a partire dal 2018, con riferimento alla situazione al 31/12/2017.</w:t>
      </w:r>
    </w:p>
    <w:p w:rsidR="00507FFC" w:rsidRPr="007C273E" w:rsidRDefault="00507FFC" w:rsidP="006F010C">
      <w:pPr>
        <w:autoSpaceDE w:val="0"/>
        <w:autoSpaceDN w:val="0"/>
        <w:adjustRightInd w:val="0"/>
        <w:spacing w:after="0" w:line="480" w:lineRule="auto"/>
        <w:jc w:val="both"/>
        <w:rPr>
          <w:rFonts w:ascii="Times New Roman" w:hAnsi="Times New Roman"/>
          <w:sz w:val="24"/>
          <w:szCs w:val="24"/>
          <w:lang w:eastAsia="it-IT"/>
        </w:rPr>
      </w:pPr>
      <w:r w:rsidRPr="007C273E">
        <w:rPr>
          <w:rFonts w:ascii="Times New Roman" w:hAnsi="Times New Roman"/>
          <w:sz w:val="24"/>
          <w:szCs w:val="24"/>
          <w:lang w:eastAsia="it-IT"/>
        </w:rPr>
        <w:t>La</w:t>
      </w:r>
      <w:r w:rsidRPr="007C273E">
        <w:rPr>
          <w:rFonts w:ascii="Times New Roman" w:hAnsi="Times New Roman"/>
          <w:sz w:val="24"/>
          <w:szCs w:val="24"/>
        </w:rPr>
        <w:t xml:space="preserve"> Sezione delle autonomie della Corte dei conti </w:t>
      </w:r>
      <w:r w:rsidRPr="007C273E">
        <w:rPr>
          <w:rFonts w:ascii="Times New Roman" w:hAnsi="Times New Roman"/>
          <w:bCs/>
          <w:iCs/>
          <w:sz w:val="24"/>
          <w:szCs w:val="24"/>
        </w:rPr>
        <w:t xml:space="preserve">19/07/2017, </w:t>
      </w:r>
      <w:r w:rsidRPr="007C273E">
        <w:rPr>
          <w:rFonts w:ascii="Times New Roman" w:hAnsi="Times New Roman"/>
          <w:sz w:val="24"/>
          <w:szCs w:val="24"/>
        </w:rPr>
        <w:t>n. 19/SEZAUT/2017/INPR</w:t>
      </w:r>
      <w:r w:rsidRPr="007C273E">
        <w:rPr>
          <w:rFonts w:ascii="Times New Roman" w:hAnsi="Times New Roman"/>
          <w:sz w:val="24"/>
          <w:szCs w:val="24"/>
          <w:lang w:eastAsia="it-IT"/>
        </w:rPr>
        <w:t xml:space="preserve"> ha a sua volta precisato che la ricognizione è da effettuare per tutte le partecipazioni dirette e indirette, anche se di minima entità, e ha chiarito che il perimetro delle partecipazioni indirette oggetto di rilevazione comprende “</w:t>
      </w:r>
      <w:r w:rsidRPr="007C273E">
        <w:rPr>
          <w:rFonts w:ascii="Times New Roman" w:hAnsi="Times New Roman"/>
          <w:i/>
          <w:sz w:val="24"/>
          <w:szCs w:val="24"/>
        </w:rPr>
        <w:t xml:space="preserve">quelle detenute da una pubblica amministrazione per il tramite di una società o di altro organismo a controllo pubblico da parte della medesima </w:t>
      </w:r>
      <w:r w:rsidRPr="007C273E">
        <w:rPr>
          <w:rFonts w:ascii="Times New Roman" w:hAnsi="Times New Roman"/>
          <w:sz w:val="24"/>
          <w:szCs w:val="24"/>
        </w:rPr>
        <w:t>(art. 2, co. 1, lett. g)…..</w:t>
      </w:r>
      <w:r w:rsidRPr="007C273E">
        <w:rPr>
          <w:rFonts w:ascii="Times New Roman" w:hAnsi="Times New Roman"/>
          <w:i/>
          <w:sz w:val="24"/>
          <w:szCs w:val="24"/>
        </w:rPr>
        <w:t xml:space="preserve"> Infatti, sono rilevanti ai fini del Testo unico e, quindi, della ricognizione delle partecipazioni ai sensi dell’art. 24, d.lgs. n. 175/2016, le società indirette (“quotate” e non) che hanno per tramite una società/organismo a controllo pubblico</w:t>
      </w:r>
      <w:r w:rsidRPr="007C273E">
        <w:rPr>
          <w:rFonts w:ascii="Times New Roman" w:hAnsi="Times New Roman"/>
          <w:sz w:val="24"/>
          <w:szCs w:val="24"/>
        </w:rPr>
        <w:t>.”</w:t>
      </w:r>
    </w:p>
    <w:p w:rsidR="00507FFC" w:rsidRPr="007C273E" w:rsidRDefault="00507FFC" w:rsidP="006F010C">
      <w:pPr>
        <w:autoSpaceDE w:val="0"/>
        <w:autoSpaceDN w:val="0"/>
        <w:adjustRightInd w:val="0"/>
        <w:spacing w:after="0" w:line="480" w:lineRule="auto"/>
        <w:jc w:val="both"/>
        <w:rPr>
          <w:rFonts w:ascii="Times New Roman" w:hAnsi="Times New Roman"/>
          <w:iCs/>
          <w:sz w:val="20"/>
          <w:szCs w:val="20"/>
        </w:rPr>
      </w:pPr>
      <w:r w:rsidRPr="007C273E">
        <w:rPr>
          <w:rFonts w:ascii="Times New Roman" w:hAnsi="Times New Roman"/>
          <w:sz w:val="24"/>
          <w:szCs w:val="24"/>
          <w:lang w:eastAsia="it-IT"/>
        </w:rPr>
        <w:t>Per una corretta rilevazione occorre, in primo luogo, specificare la sussistenza della stretta necessità della società rispetto alle finalità perseguite dall’ente e lo svolgimento, da parte della medesima, di una delle attività consentite dall’art. 4 del d.lgs. 19/08/2016, n.175 (cosiddetto vincolo di scopo) e, in secondo luogo, è necessario accertare se ricorrono o meno le situazioni di criticità sintetizzate dall’art. 20, comma 2 del d.lgs. 19/08/2016, n.175 (cosiddetto vincolo di mantenimento).</w:t>
      </w:r>
    </w:p>
    <w:p w:rsidR="00507FFC" w:rsidRPr="007C273E" w:rsidRDefault="00507FFC" w:rsidP="006F010C">
      <w:pPr>
        <w:autoSpaceDE w:val="0"/>
        <w:autoSpaceDN w:val="0"/>
        <w:adjustRightInd w:val="0"/>
        <w:spacing w:after="0" w:line="480" w:lineRule="auto"/>
        <w:jc w:val="both"/>
        <w:rPr>
          <w:rFonts w:ascii="Times New Roman" w:hAnsi="Times New Roman"/>
          <w:sz w:val="24"/>
          <w:szCs w:val="24"/>
          <w:lang w:eastAsia="it-IT"/>
        </w:rPr>
      </w:pPr>
      <w:r w:rsidRPr="007C273E">
        <w:rPr>
          <w:rFonts w:ascii="Times New Roman" w:hAnsi="Times New Roman"/>
          <w:sz w:val="24"/>
          <w:szCs w:val="24"/>
          <w:lang w:eastAsia="it-IT"/>
        </w:rPr>
        <w:t>Esso individua sette situazioni di criticità da considerare ai fini della razionalizzazione delle partecipazioni, di seguito elencate:</w:t>
      </w:r>
    </w:p>
    <w:p w:rsidR="00507FFC" w:rsidRPr="007C273E" w:rsidRDefault="00507FFC" w:rsidP="00CC5F2A">
      <w:pPr>
        <w:pStyle w:val="Paragrafoelenco"/>
        <w:numPr>
          <w:ilvl w:val="0"/>
          <w:numId w:val="4"/>
        </w:numPr>
        <w:spacing w:after="0" w:line="480" w:lineRule="auto"/>
        <w:ind w:left="426"/>
        <w:jc w:val="both"/>
        <w:rPr>
          <w:rFonts w:ascii="Times New Roman" w:hAnsi="Times New Roman"/>
          <w:i/>
          <w:sz w:val="24"/>
          <w:szCs w:val="24"/>
          <w:lang w:eastAsia="it-IT"/>
        </w:rPr>
      </w:pPr>
      <w:r w:rsidRPr="007C273E">
        <w:rPr>
          <w:rFonts w:ascii="Times New Roman" w:hAnsi="Times New Roman"/>
          <w:i/>
          <w:sz w:val="24"/>
          <w:szCs w:val="24"/>
          <w:lang w:eastAsia="it-IT"/>
        </w:rPr>
        <w:t>partecipazioni societarie che non rientrino in alcuna delle categorie di cui all'articolo 4;</w:t>
      </w:r>
    </w:p>
    <w:p w:rsidR="00507FFC" w:rsidRPr="007C273E" w:rsidRDefault="00507FFC" w:rsidP="00CC5F2A">
      <w:pPr>
        <w:pStyle w:val="Paragrafoelenco"/>
        <w:numPr>
          <w:ilvl w:val="0"/>
          <w:numId w:val="4"/>
        </w:numPr>
        <w:spacing w:after="0" w:line="480" w:lineRule="auto"/>
        <w:ind w:left="426"/>
        <w:jc w:val="both"/>
        <w:rPr>
          <w:rFonts w:ascii="Times New Roman" w:hAnsi="Times New Roman"/>
          <w:i/>
          <w:sz w:val="24"/>
          <w:szCs w:val="24"/>
          <w:lang w:eastAsia="it-IT"/>
        </w:rPr>
      </w:pPr>
      <w:r w:rsidRPr="007C273E">
        <w:rPr>
          <w:rFonts w:ascii="Times New Roman" w:hAnsi="Times New Roman"/>
          <w:i/>
          <w:sz w:val="24"/>
          <w:szCs w:val="24"/>
          <w:lang w:eastAsia="it-IT"/>
        </w:rPr>
        <w:lastRenderedPageBreak/>
        <w:t>società che risultino prive di dipendenti o abbiano un numero di amministratori superiore a quello dei dipendenti;</w:t>
      </w:r>
    </w:p>
    <w:p w:rsidR="00507FFC" w:rsidRPr="007C273E" w:rsidRDefault="00507FFC" w:rsidP="00CC5F2A">
      <w:pPr>
        <w:pStyle w:val="Paragrafoelenco"/>
        <w:numPr>
          <w:ilvl w:val="0"/>
          <w:numId w:val="4"/>
        </w:numPr>
        <w:spacing w:after="0" w:line="480" w:lineRule="auto"/>
        <w:ind w:left="426"/>
        <w:jc w:val="both"/>
        <w:rPr>
          <w:rFonts w:ascii="Times New Roman" w:hAnsi="Times New Roman"/>
          <w:i/>
          <w:sz w:val="24"/>
          <w:szCs w:val="24"/>
          <w:lang w:eastAsia="it-IT"/>
        </w:rPr>
      </w:pPr>
      <w:r w:rsidRPr="007C273E">
        <w:rPr>
          <w:rFonts w:ascii="Times New Roman" w:hAnsi="Times New Roman"/>
          <w:i/>
          <w:sz w:val="24"/>
          <w:szCs w:val="24"/>
          <w:lang w:eastAsia="it-IT"/>
        </w:rPr>
        <w:t>partecipazioni in società che svolgono attività analoghe o similari a quelle svolte da altre società partecipate o da enti pubblici strumentali;</w:t>
      </w:r>
    </w:p>
    <w:p w:rsidR="00507FFC" w:rsidRPr="007C273E" w:rsidRDefault="00507FFC" w:rsidP="00CC5F2A">
      <w:pPr>
        <w:pStyle w:val="Paragrafoelenco"/>
        <w:numPr>
          <w:ilvl w:val="0"/>
          <w:numId w:val="4"/>
        </w:numPr>
        <w:spacing w:after="0" w:line="480" w:lineRule="auto"/>
        <w:ind w:left="426"/>
        <w:jc w:val="both"/>
        <w:rPr>
          <w:rFonts w:ascii="Times New Roman" w:hAnsi="Times New Roman"/>
          <w:i/>
          <w:sz w:val="24"/>
          <w:szCs w:val="24"/>
          <w:lang w:eastAsia="it-IT"/>
        </w:rPr>
      </w:pPr>
      <w:r w:rsidRPr="007C273E">
        <w:rPr>
          <w:rFonts w:ascii="Times New Roman" w:hAnsi="Times New Roman"/>
          <w:i/>
          <w:sz w:val="24"/>
          <w:szCs w:val="24"/>
          <w:lang w:eastAsia="it-IT"/>
        </w:rPr>
        <w:t>partecipazioni in società che, nel triennio precedente, abbiano conseguito un fatturato medio non superiore a un milione di euro;</w:t>
      </w:r>
    </w:p>
    <w:p w:rsidR="00507FFC" w:rsidRPr="007C273E" w:rsidRDefault="00507FFC" w:rsidP="00CC5F2A">
      <w:pPr>
        <w:pStyle w:val="Paragrafoelenco"/>
        <w:numPr>
          <w:ilvl w:val="0"/>
          <w:numId w:val="4"/>
        </w:numPr>
        <w:spacing w:after="0" w:line="480" w:lineRule="auto"/>
        <w:ind w:left="426"/>
        <w:jc w:val="both"/>
        <w:rPr>
          <w:rFonts w:ascii="Times New Roman" w:hAnsi="Times New Roman"/>
          <w:i/>
          <w:sz w:val="24"/>
          <w:szCs w:val="24"/>
          <w:lang w:eastAsia="it-IT"/>
        </w:rPr>
      </w:pPr>
      <w:r w:rsidRPr="007C273E">
        <w:rPr>
          <w:rFonts w:ascii="Times New Roman" w:hAnsi="Times New Roman"/>
          <w:i/>
          <w:sz w:val="24"/>
          <w:szCs w:val="24"/>
          <w:lang w:eastAsia="it-IT"/>
        </w:rPr>
        <w:t>partecipazioni in società diverse da quelle costituite per la gestione di un servizio d'interesse generale che abbiano prodotto un risultato negativo per quattro dei cinque esercizi precedenti;</w:t>
      </w:r>
    </w:p>
    <w:p w:rsidR="00507FFC" w:rsidRPr="007C273E" w:rsidRDefault="00507FFC" w:rsidP="00CC5F2A">
      <w:pPr>
        <w:pStyle w:val="Paragrafoelenco"/>
        <w:numPr>
          <w:ilvl w:val="0"/>
          <w:numId w:val="4"/>
        </w:numPr>
        <w:spacing w:after="0" w:line="480" w:lineRule="auto"/>
        <w:ind w:left="426"/>
        <w:jc w:val="both"/>
        <w:rPr>
          <w:rFonts w:ascii="Times New Roman" w:hAnsi="Times New Roman"/>
          <w:i/>
          <w:sz w:val="24"/>
          <w:szCs w:val="24"/>
          <w:lang w:eastAsia="it-IT"/>
        </w:rPr>
      </w:pPr>
      <w:r w:rsidRPr="007C273E">
        <w:rPr>
          <w:rFonts w:ascii="Times New Roman" w:hAnsi="Times New Roman"/>
          <w:i/>
          <w:sz w:val="24"/>
          <w:szCs w:val="24"/>
          <w:lang w:eastAsia="it-IT"/>
        </w:rPr>
        <w:t>necessità di contenimento dei costi di funzionamento;</w:t>
      </w:r>
    </w:p>
    <w:p w:rsidR="00507FFC" w:rsidRPr="007C273E" w:rsidRDefault="00507FFC" w:rsidP="00CC5F2A">
      <w:pPr>
        <w:pStyle w:val="Paragrafoelenco"/>
        <w:numPr>
          <w:ilvl w:val="0"/>
          <w:numId w:val="4"/>
        </w:numPr>
        <w:spacing w:after="0" w:line="480" w:lineRule="auto"/>
        <w:ind w:left="426"/>
        <w:jc w:val="both"/>
        <w:rPr>
          <w:rFonts w:ascii="Times New Roman" w:hAnsi="Times New Roman"/>
          <w:i/>
          <w:sz w:val="24"/>
          <w:szCs w:val="24"/>
          <w:lang w:eastAsia="it-IT"/>
        </w:rPr>
      </w:pPr>
      <w:r w:rsidRPr="007C273E">
        <w:rPr>
          <w:rFonts w:ascii="Times New Roman" w:hAnsi="Times New Roman"/>
          <w:i/>
          <w:sz w:val="24"/>
          <w:szCs w:val="24"/>
          <w:lang w:eastAsia="it-IT"/>
        </w:rPr>
        <w:t>necessità di aggregazione di società aventi ad oggetto le attività consentite all'articolo 4.</w:t>
      </w:r>
    </w:p>
    <w:p w:rsidR="00507FFC" w:rsidRPr="007C273E" w:rsidRDefault="00507FFC" w:rsidP="006F010C">
      <w:pPr>
        <w:autoSpaceDE w:val="0"/>
        <w:autoSpaceDN w:val="0"/>
        <w:adjustRightInd w:val="0"/>
        <w:spacing w:after="0" w:line="480" w:lineRule="auto"/>
        <w:jc w:val="both"/>
        <w:rPr>
          <w:rFonts w:ascii="Times New Roman" w:hAnsi="Times New Roman"/>
          <w:color w:val="FF00FF"/>
          <w:sz w:val="24"/>
          <w:szCs w:val="24"/>
          <w:lang w:eastAsia="it-IT"/>
        </w:rPr>
      </w:pPr>
      <w:r w:rsidRPr="007C273E">
        <w:rPr>
          <w:rFonts w:ascii="Times New Roman" w:hAnsi="Times New Roman"/>
          <w:sz w:val="24"/>
          <w:szCs w:val="24"/>
          <w:lang w:eastAsia="it-IT"/>
        </w:rPr>
        <w:t>L’art. 26, comma 12-</w:t>
      </w:r>
      <w:r w:rsidRPr="007C273E">
        <w:rPr>
          <w:rFonts w:ascii="Times New Roman" w:hAnsi="Times New Roman"/>
          <w:i/>
          <w:sz w:val="24"/>
          <w:szCs w:val="24"/>
          <w:lang w:eastAsia="it-IT"/>
        </w:rPr>
        <w:t>quinquies</w:t>
      </w:r>
      <w:r w:rsidRPr="007C273E">
        <w:rPr>
          <w:rFonts w:ascii="Times New Roman" w:hAnsi="Times New Roman"/>
          <w:sz w:val="24"/>
          <w:szCs w:val="24"/>
          <w:lang w:eastAsia="it-IT"/>
        </w:rPr>
        <w:t xml:space="preserve"> del d.lgs. 19/08/2016, n.175 ha precisato che “</w:t>
      </w:r>
      <w:r w:rsidRPr="007C273E">
        <w:rPr>
          <w:rFonts w:ascii="Times New Roman" w:hAnsi="Times New Roman"/>
          <w:i/>
          <w:sz w:val="24"/>
          <w:szCs w:val="24"/>
          <w:lang w:eastAsia="it-IT"/>
        </w:rPr>
        <w:t>Ai fini dell'applicazione del criterio di cui all'articolo 20, comma 2, lettera d), il primo triennio rilevante è il triennio 2017-2019. Nelle more della prima applicazione del suddetto criterio relativo al triennio 2017-2019, si applicava la soglia di fatturato medio non superiore a cinquecentomila euro per il triennio precedente l'entrata in vigore del presente decreto ai fini dell'adozione dei piani di revisione straordinaria di cui all'articolo 24 e per i trienni 2015-2017 e 2016-2018 ai fini dell'adozione dei piani di razionalizzazione di cui all'articolo 20.”.</w:t>
      </w:r>
    </w:p>
    <w:p w:rsidR="00507FFC" w:rsidRPr="007C273E" w:rsidRDefault="00507FFC" w:rsidP="006F010C">
      <w:pPr>
        <w:autoSpaceDE w:val="0"/>
        <w:autoSpaceDN w:val="0"/>
        <w:adjustRightInd w:val="0"/>
        <w:spacing w:after="0" w:line="480" w:lineRule="auto"/>
        <w:jc w:val="both"/>
        <w:rPr>
          <w:rFonts w:ascii="Times New Roman" w:hAnsi="Times New Roman"/>
          <w:b/>
          <w:sz w:val="24"/>
          <w:szCs w:val="24"/>
          <w:lang w:eastAsia="it-IT"/>
        </w:rPr>
      </w:pPr>
      <w:r w:rsidRPr="007C273E">
        <w:rPr>
          <w:rFonts w:ascii="Times New Roman" w:hAnsi="Times New Roman"/>
          <w:b/>
          <w:sz w:val="24"/>
          <w:szCs w:val="24"/>
          <w:lang w:eastAsia="it-IT"/>
        </w:rPr>
        <w:t>1.3 - Contenuto, adempimenti e tempistica</w:t>
      </w:r>
    </w:p>
    <w:p w:rsidR="00507FFC" w:rsidRPr="007C273E" w:rsidRDefault="00507FFC" w:rsidP="008A3739">
      <w:pPr>
        <w:autoSpaceDE w:val="0"/>
        <w:autoSpaceDN w:val="0"/>
        <w:adjustRightInd w:val="0"/>
        <w:spacing w:after="0" w:line="480" w:lineRule="auto"/>
        <w:jc w:val="both"/>
        <w:rPr>
          <w:rFonts w:ascii="Times New Roman" w:hAnsi="Times New Roman"/>
          <w:sz w:val="24"/>
          <w:szCs w:val="24"/>
          <w:lang w:eastAsia="it-IT"/>
        </w:rPr>
      </w:pPr>
      <w:r w:rsidRPr="007C273E">
        <w:rPr>
          <w:rFonts w:ascii="Times New Roman" w:hAnsi="Times New Roman"/>
          <w:sz w:val="24"/>
          <w:szCs w:val="24"/>
          <w:lang w:eastAsia="it-IT"/>
        </w:rPr>
        <w:t>Il piano di razionalizzazione delle partecipazioni pubbliche, corredato da una relazione tecnica, deve riportare le modalità e i tempi di attuazione, nonché una stima dei risparmi da conseguire.</w:t>
      </w:r>
    </w:p>
    <w:p w:rsidR="00507FFC" w:rsidRPr="007C273E" w:rsidRDefault="00507FFC" w:rsidP="008A3739">
      <w:pPr>
        <w:autoSpaceDE w:val="0"/>
        <w:autoSpaceDN w:val="0"/>
        <w:adjustRightInd w:val="0"/>
        <w:spacing w:after="0" w:line="480" w:lineRule="auto"/>
        <w:jc w:val="both"/>
        <w:rPr>
          <w:rFonts w:ascii="Times New Roman" w:hAnsi="Times New Roman"/>
          <w:sz w:val="24"/>
          <w:szCs w:val="24"/>
          <w:lang w:eastAsia="it-IT"/>
        </w:rPr>
      </w:pPr>
      <w:r w:rsidRPr="007C273E">
        <w:rPr>
          <w:rFonts w:ascii="Times New Roman" w:hAnsi="Times New Roman"/>
          <w:sz w:val="24"/>
          <w:szCs w:val="24"/>
          <w:lang w:eastAsia="it-IT"/>
        </w:rPr>
        <w:t>Una volta approvato, ai sensi dell’art. 20 del d.lgs. 19/08/2016, n.175, il piano deve essere oggetto di due specifici adempimenti:</w:t>
      </w:r>
    </w:p>
    <w:p w:rsidR="00507FFC" w:rsidRPr="007C273E" w:rsidRDefault="00507FFC" w:rsidP="00CC5F2A">
      <w:pPr>
        <w:numPr>
          <w:ilvl w:val="0"/>
          <w:numId w:val="3"/>
        </w:numPr>
        <w:autoSpaceDE w:val="0"/>
        <w:autoSpaceDN w:val="0"/>
        <w:adjustRightInd w:val="0"/>
        <w:spacing w:after="0" w:line="480" w:lineRule="auto"/>
        <w:ind w:left="567"/>
        <w:jc w:val="both"/>
        <w:rPr>
          <w:rFonts w:ascii="Times New Roman" w:hAnsi="Times New Roman"/>
          <w:sz w:val="24"/>
          <w:szCs w:val="24"/>
          <w:lang w:eastAsia="it-IT"/>
        </w:rPr>
      </w:pPr>
      <w:r w:rsidRPr="007C273E">
        <w:rPr>
          <w:rFonts w:ascii="Times New Roman" w:hAnsi="Times New Roman"/>
          <w:sz w:val="24"/>
          <w:szCs w:val="24"/>
          <w:lang w:eastAsia="it-IT"/>
        </w:rPr>
        <w:t>la trasmissione alla competente sezione regionale di controllo della Corte dei Conti;</w:t>
      </w:r>
    </w:p>
    <w:p w:rsidR="00507FFC" w:rsidRPr="007C273E" w:rsidRDefault="00507FFC" w:rsidP="00CC5F2A">
      <w:pPr>
        <w:numPr>
          <w:ilvl w:val="0"/>
          <w:numId w:val="3"/>
        </w:numPr>
        <w:autoSpaceDE w:val="0"/>
        <w:autoSpaceDN w:val="0"/>
        <w:adjustRightInd w:val="0"/>
        <w:spacing w:after="0" w:line="480" w:lineRule="auto"/>
        <w:ind w:left="567"/>
        <w:jc w:val="both"/>
        <w:rPr>
          <w:rFonts w:ascii="Times New Roman" w:hAnsi="Times New Roman"/>
          <w:sz w:val="24"/>
          <w:szCs w:val="24"/>
          <w:lang w:eastAsia="it-IT"/>
        </w:rPr>
      </w:pPr>
      <w:r w:rsidRPr="007C273E">
        <w:rPr>
          <w:rFonts w:ascii="Times New Roman" w:hAnsi="Times New Roman"/>
          <w:sz w:val="24"/>
          <w:szCs w:val="24"/>
          <w:lang w:eastAsia="it-IT"/>
        </w:rPr>
        <w:t>la comunicazione alla struttura di cui all’art. 15 del d.lgs. 19/08/2016, n.175.</w:t>
      </w:r>
    </w:p>
    <w:p w:rsidR="00507FFC" w:rsidRPr="007C273E" w:rsidRDefault="00507FFC" w:rsidP="00C65931">
      <w:pPr>
        <w:autoSpaceDE w:val="0"/>
        <w:autoSpaceDN w:val="0"/>
        <w:adjustRightInd w:val="0"/>
        <w:spacing w:after="0" w:line="480" w:lineRule="auto"/>
        <w:jc w:val="both"/>
        <w:rPr>
          <w:rFonts w:ascii="Times New Roman" w:hAnsi="Times New Roman"/>
          <w:sz w:val="24"/>
          <w:szCs w:val="24"/>
          <w:lang w:eastAsia="it-IT"/>
        </w:rPr>
      </w:pPr>
      <w:r w:rsidRPr="007C273E">
        <w:rPr>
          <w:rFonts w:ascii="Times New Roman" w:hAnsi="Times New Roman"/>
          <w:sz w:val="24"/>
          <w:szCs w:val="24"/>
          <w:lang w:eastAsia="it-IT"/>
        </w:rPr>
        <w:t>L’art. 20, comma 7 del d.lgs. 19/08/2016 n. 175 prevede espressamente che la mancata adozione del piano di razionalizzazione da parte degli enti locali “</w:t>
      </w:r>
      <w:r w:rsidRPr="007C273E">
        <w:rPr>
          <w:rFonts w:ascii="Times New Roman" w:hAnsi="Times New Roman"/>
          <w:i/>
          <w:sz w:val="24"/>
          <w:szCs w:val="24"/>
          <w:lang w:eastAsia="it-IT"/>
        </w:rPr>
        <w:t xml:space="preserve">comporta la sanzione amministrativa del pagamento di una somma da un minimo di euro 5.000 a un massimo di euro 500.000, salvo il </w:t>
      </w:r>
      <w:r w:rsidRPr="007C273E">
        <w:rPr>
          <w:rFonts w:ascii="Times New Roman" w:hAnsi="Times New Roman"/>
          <w:i/>
          <w:sz w:val="24"/>
          <w:szCs w:val="24"/>
          <w:lang w:eastAsia="it-IT"/>
        </w:rPr>
        <w:lastRenderedPageBreak/>
        <w:t>danno eventualmente rilevato in sede di giudizio amministrativo contabile, comminata dalla competente sezione giurisdizionale regionale della Corte dei Conti</w:t>
      </w:r>
      <w:r w:rsidRPr="007C273E">
        <w:rPr>
          <w:rFonts w:ascii="Times New Roman" w:hAnsi="Times New Roman"/>
          <w:sz w:val="24"/>
          <w:szCs w:val="24"/>
          <w:lang w:eastAsia="it-IT"/>
        </w:rPr>
        <w:t>”.</w:t>
      </w:r>
    </w:p>
    <w:p w:rsidR="00507FFC" w:rsidRPr="007C273E" w:rsidRDefault="00507FFC" w:rsidP="006F010C">
      <w:pPr>
        <w:autoSpaceDE w:val="0"/>
        <w:autoSpaceDN w:val="0"/>
        <w:adjustRightInd w:val="0"/>
        <w:spacing w:after="0" w:line="480" w:lineRule="auto"/>
        <w:jc w:val="both"/>
        <w:rPr>
          <w:rFonts w:ascii="Times New Roman" w:hAnsi="Times New Roman"/>
          <w:b/>
          <w:sz w:val="24"/>
          <w:szCs w:val="24"/>
          <w:lang w:eastAsia="it-IT"/>
        </w:rPr>
      </w:pPr>
      <w:r w:rsidRPr="007C273E">
        <w:rPr>
          <w:rFonts w:ascii="Times New Roman" w:hAnsi="Times New Roman"/>
          <w:b/>
          <w:sz w:val="24"/>
          <w:szCs w:val="24"/>
          <w:lang w:eastAsia="it-IT"/>
        </w:rPr>
        <w:t xml:space="preserve">1.4 – Relazione ai sensi dell’art. 20, comma 4 del d.lgs. 19/08/2016, n. 175 </w:t>
      </w:r>
    </w:p>
    <w:p w:rsidR="00507FFC" w:rsidRPr="007C273E" w:rsidRDefault="00507FFC" w:rsidP="003A7CD4">
      <w:pPr>
        <w:pStyle w:val="NormaleWeb"/>
        <w:spacing w:before="0" w:beforeAutospacing="0" w:after="0" w:line="480" w:lineRule="auto"/>
        <w:jc w:val="both"/>
      </w:pPr>
      <w:r w:rsidRPr="007C273E">
        <w:t xml:space="preserve">Si premette </w:t>
      </w:r>
      <w:r w:rsidRPr="007C273E">
        <w:rPr>
          <w:i/>
        </w:rPr>
        <w:t>in limine</w:t>
      </w:r>
      <w:r w:rsidRPr="007C273E">
        <w:t xml:space="preserve"> che:</w:t>
      </w:r>
    </w:p>
    <w:p w:rsidR="00507FFC" w:rsidRPr="007C273E" w:rsidRDefault="00507FFC" w:rsidP="00CC5F2A">
      <w:pPr>
        <w:pStyle w:val="NormaleWeb"/>
        <w:numPr>
          <w:ilvl w:val="0"/>
          <w:numId w:val="6"/>
        </w:numPr>
        <w:spacing w:before="0" w:beforeAutospacing="0" w:after="0" w:line="480" w:lineRule="auto"/>
        <w:ind w:left="426"/>
        <w:jc w:val="both"/>
      </w:pPr>
      <w:r w:rsidRPr="007C273E">
        <w:t xml:space="preserve">Il Comune di </w:t>
      </w:r>
      <w:r w:rsidR="00856CE8">
        <w:t xml:space="preserve">Travacò Siccomario </w:t>
      </w:r>
      <w:r w:rsidRPr="007C273E">
        <w:t xml:space="preserve">ha approvato, ai sensi dell’art. 1, comma 611 della Legge 23/12/2014, n. 190, con deliberazione del Consiglio comunale del </w:t>
      </w:r>
      <w:r w:rsidR="00856CE8">
        <w:t>2/4/2015 n. 26,</w:t>
      </w:r>
      <w:r w:rsidRPr="007C273E">
        <w:t xml:space="preserve"> efficace ai sensi di legge, il proprio piano operativo di razionalizzazione, successivamente </w:t>
      </w:r>
      <w:r w:rsidR="00856CE8">
        <w:t>integrato</w:t>
      </w:r>
      <w:r w:rsidRPr="007C273E">
        <w:t xml:space="preserve"> con l</w:t>
      </w:r>
      <w:r w:rsidR="00856CE8">
        <w:t>a</w:t>
      </w:r>
      <w:r w:rsidRPr="007C273E">
        <w:t xml:space="preserve"> deliberazion</w:t>
      </w:r>
      <w:r w:rsidR="00856CE8">
        <w:t>e</w:t>
      </w:r>
      <w:r w:rsidRPr="007C273E">
        <w:t xml:space="preserve"> del Consiglio comunale del </w:t>
      </w:r>
      <w:r w:rsidR="00856CE8">
        <w:t>28/5/2015</w:t>
      </w:r>
      <w:r w:rsidRPr="007C273E">
        <w:t xml:space="preserve"> n.</w:t>
      </w:r>
      <w:r w:rsidR="00856CE8">
        <w:t xml:space="preserve"> 45</w:t>
      </w:r>
      <w:r w:rsidRPr="007C273E">
        <w:t xml:space="preserve"> e </w:t>
      </w:r>
      <w:r w:rsidR="00856CE8">
        <w:t>ha approvato con deliberazione n. 13 del 30/3/2016 la relazione conclusiva sul processo di razionalizzazione delle società partecipate e delle partecipazioni societarie, atti</w:t>
      </w:r>
      <w:r w:rsidRPr="007C273E">
        <w:t xml:space="preserve"> efficaci ai sensi di legge. </w:t>
      </w:r>
    </w:p>
    <w:p w:rsidR="00507FFC" w:rsidRPr="007C273E" w:rsidRDefault="00507FFC" w:rsidP="00CC5F2A">
      <w:pPr>
        <w:pStyle w:val="NormaleWeb"/>
        <w:numPr>
          <w:ilvl w:val="0"/>
          <w:numId w:val="6"/>
        </w:numPr>
        <w:spacing w:before="0" w:beforeAutospacing="0" w:after="0" w:line="480" w:lineRule="auto"/>
        <w:ind w:left="426"/>
        <w:jc w:val="both"/>
      </w:pPr>
      <w:r w:rsidRPr="007C273E">
        <w:t xml:space="preserve">Con deliberazione del Consiglio comunale del </w:t>
      </w:r>
      <w:r w:rsidR="00856CE8">
        <w:t>27/9/2017</w:t>
      </w:r>
      <w:r w:rsidRPr="007C273E">
        <w:t xml:space="preserve">, n. </w:t>
      </w:r>
      <w:r w:rsidR="00856CE8">
        <w:t>41</w:t>
      </w:r>
      <w:r w:rsidRPr="007C273E">
        <w:t xml:space="preserve"> efficace ai sensi di legge, è stata approvata la revisione straordinaria delle partecipazioni ai sensi dell’art. 24 del d.lgs. 19/08/2016, n. 175, che costituisce aggiornamento del piano operativo di razionalizzazione precedentemente adottato. </w:t>
      </w:r>
    </w:p>
    <w:p w:rsidR="00507FFC" w:rsidRPr="00C47E26" w:rsidRDefault="00507FFC" w:rsidP="00CC5F2A">
      <w:pPr>
        <w:pStyle w:val="NormaleWeb"/>
        <w:numPr>
          <w:ilvl w:val="0"/>
          <w:numId w:val="6"/>
        </w:numPr>
        <w:spacing w:before="0" w:beforeAutospacing="0" w:after="0" w:line="480" w:lineRule="auto"/>
        <w:ind w:left="426"/>
        <w:jc w:val="both"/>
        <w:rPr>
          <w:bCs/>
        </w:rPr>
      </w:pPr>
      <w:r w:rsidRPr="00C47E26">
        <w:t xml:space="preserve">Con deliberazione del Consiglio comunale del </w:t>
      </w:r>
      <w:r w:rsidR="006035A4" w:rsidRPr="00C47E26">
        <w:t>18/12/2018</w:t>
      </w:r>
      <w:r w:rsidRPr="00C47E26">
        <w:t xml:space="preserve">, n. </w:t>
      </w:r>
      <w:r w:rsidR="006035A4" w:rsidRPr="00C47E26">
        <w:t>47</w:t>
      </w:r>
      <w:r w:rsidRPr="00C47E26">
        <w:t xml:space="preserve"> efficace ai sensi di legge, è stato approvato il </w:t>
      </w:r>
      <w:r w:rsidRPr="00C47E26">
        <w:rPr>
          <w:bCs/>
        </w:rPr>
        <w:t>piano di razionalizzazione delle partecipazioni del Comune di</w:t>
      </w:r>
      <w:r w:rsidR="006035A4" w:rsidRPr="00C47E26">
        <w:rPr>
          <w:bCs/>
        </w:rPr>
        <w:t xml:space="preserve"> Travacò Siccomario</w:t>
      </w:r>
      <w:r w:rsidRPr="00C47E26">
        <w:rPr>
          <w:bCs/>
        </w:rPr>
        <w:t xml:space="preserve"> ai sensi dell’art. 20 del </w:t>
      </w:r>
      <w:r w:rsidRPr="00C47E26">
        <w:t xml:space="preserve">d.lgs. </w:t>
      </w:r>
      <w:r w:rsidRPr="00C47E26">
        <w:rPr>
          <w:bCs/>
        </w:rPr>
        <w:t>19/08/2016 n. 175 - anno 2018</w:t>
      </w:r>
      <w:r w:rsidR="00455457" w:rsidRPr="00C47E26">
        <w:rPr>
          <w:bCs/>
        </w:rPr>
        <w:t>;</w:t>
      </w:r>
    </w:p>
    <w:p w:rsidR="006035A4" w:rsidRPr="00C47E26" w:rsidRDefault="006035A4" w:rsidP="00CC5F2A">
      <w:pPr>
        <w:pStyle w:val="NormaleWeb"/>
        <w:numPr>
          <w:ilvl w:val="0"/>
          <w:numId w:val="6"/>
        </w:numPr>
        <w:spacing w:before="0" w:beforeAutospacing="0" w:after="0" w:line="480" w:lineRule="auto"/>
        <w:ind w:left="426"/>
        <w:jc w:val="both"/>
      </w:pPr>
      <w:r w:rsidRPr="00C47E26">
        <w:t xml:space="preserve">Con deliberazione del Consiglio comunale del 19/12/2019, n. 60 efficace ai sensi di legge, è stato approvato il </w:t>
      </w:r>
      <w:r w:rsidRPr="00C47E26">
        <w:rPr>
          <w:bCs/>
        </w:rPr>
        <w:t xml:space="preserve">piano di razionalizzazione delle partecipazioni del Comune di Travacò Siccomario ai sensi dell’art. 20 del </w:t>
      </w:r>
      <w:r w:rsidRPr="00C47E26">
        <w:t xml:space="preserve">d.lgs. </w:t>
      </w:r>
      <w:r w:rsidRPr="00C47E26">
        <w:rPr>
          <w:bCs/>
        </w:rPr>
        <w:t>19/08/2016 n. 175 - anno 2019</w:t>
      </w:r>
      <w:r w:rsidR="00455457" w:rsidRPr="00C47E26">
        <w:rPr>
          <w:bCs/>
        </w:rPr>
        <w:t>;</w:t>
      </w:r>
    </w:p>
    <w:p w:rsidR="004A79AF" w:rsidRPr="00C47E26" w:rsidRDefault="004A79AF" w:rsidP="00CC5F2A">
      <w:pPr>
        <w:pStyle w:val="NormaleWeb"/>
        <w:numPr>
          <w:ilvl w:val="0"/>
          <w:numId w:val="6"/>
        </w:numPr>
        <w:spacing w:before="0" w:beforeAutospacing="0" w:after="0" w:line="480" w:lineRule="auto"/>
        <w:ind w:left="426"/>
        <w:jc w:val="both"/>
      </w:pPr>
      <w:r w:rsidRPr="00C47E26">
        <w:t xml:space="preserve">Con deliberazione del Consiglio comunale del 30/12/2020, n. 43 efficace ai sensi di legge, è stato approvato il </w:t>
      </w:r>
      <w:r w:rsidRPr="00C47E26">
        <w:rPr>
          <w:bCs/>
        </w:rPr>
        <w:t xml:space="preserve">piano di razionalizzazione delle partecipazioni del Comune di Travacò Siccomario ai sensi dell’art. 20 del </w:t>
      </w:r>
      <w:r w:rsidRPr="00C47E26">
        <w:t xml:space="preserve">d.lgs. </w:t>
      </w:r>
      <w:r w:rsidRPr="00C47E26">
        <w:rPr>
          <w:bCs/>
        </w:rPr>
        <w:t>19/08/2016 n. 175 - anno 2020</w:t>
      </w:r>
      <w:r w:rsidR="00455457" w:rsidRPr="00C47E26">
        <w:rPr>
          <w:bCs/>
        </w:rPr>
        <w:t>;</w:t>
      </w:r>
    </w:p>
    <w:p w:rsidR="004A79AF" w:rsidRPr="00C47E26" w:rsidRDefault="004A79AF" w:rsidP="00CC5F2A">
      <w:pPr>
        <w:pStyle w:val="NormaleWeb"/>
        <w:numPr>
          <w:ilvl w:val="0"/>
          <w:numId w:val="6"/>
        </w:numPr>
        <w:spacing w:before="0" w:beforeAutospacing="0" w:after="0" w:line="480" w:lineRule="auto"/>
        <w:ind w:left="426"/>
        <w:jc w:val="both"/>
      </w:pPr>
      <w:r w:rsidRPr="00C47E26">
        <w:t xml:space="preserve">Con deliberazione del Consiglio comunale del 18/12/2021, n. 41 efficace ai sensi di legge, è stato approvato il </w:t>
      </w:r>
      <w:r w:rsidRPr="00C47E26">
        <w:rPr>
          <w:bCs/>
        </w:rPr>
        <w:t xml:space="preserve">piano di razionalizzazione delle partecipazioni del Comune di Travacò Siccomario ai sensi dell’art. 20 del </w:t>
      </w:r>
      <w:r w:rsidRPr="00C47E26">
        <w:t xml:space="preserve">d.lgs. </w:t>
      </w:r>
      <w:r w:rsidRPr="00C47E26">
        <w:rPr>
          <w:bCs/>
        </w:rPr>
        <w:t>19/08/2016 n. 175 - anno 2021</w:t>
      </w:r>
      <w:r w:rsidR="00455457" w:rsidRPr="00C47E26">
        <w:rPr>
          <w:bCs/>
        </w:rPr>
        <w:t>;</w:t>
      </w:r>
    </w:p>
    <w:p w:rsidR="004A79AF" w:rsidRPr="00C47E26" w:rsidRDefault="004A79AF" w:rsidP="00CC5F2A">
      <w:pPr>
        <w:pStyle w:val="NormaleWeb"/>
        <w:numPr>
          <w:ilvl w:val="0"/>
          <w:numId w:val="6"/>
        </w:numPr>
        <w:spacing w:before="0" w:beforeAutospacing="0" w:after="0" w:line="480" w:lineRule="auto"/>
        <w:ind w:left="426"/>
        <w:jc w:val="both"/>
      </w:pPr>
      <w:r w:rsidRPr="00C47E26">
        <w:lastRenderedPageBreak/>
        <w:t xml:space="preserve">Con deliberazione del Consiglio comunale del 28/12/2022, n. 60 efficace ai sensi di legge, è stato approvato il </w:t>
      </w:r>
      <w:r w:rsidRPr="00C47E26">
        <w:rPr>
          <w:bCs/>
        </w:rPr>
        <w:t xml:space="preserve">piano di razionalizzazione delle partecipazioni del Comune di Travacò Siccomario ai sensi dell’art. 20 del </w:t>
      </w:r>
      <w:r w:rsidRPr="00C47E26">
        <w:t xml:space="preserve">d.lgs. </w:t>
      </w:r>
      <w:r w:rsidRPr="00C47E26">
        <w:rPr>
          <w:bCs/>
        </w:rPr>
        <w:t>19/08/2016 n. 175 - anno 2022</w:t>
      </w:r>
      <w:r w:rsidR="00455457" w:rsidRPr="00C47E26">
        <w:rPr>
          <w:bCs/>
        </w:rPr>
        <w:t>;</w:t>
      </w:r>
    </w:p>
    <w:p w:rsidR="004A79AF" w:rsidRPr="00C47E26" w:rsidRDefault="004A79AF" w:rsidP="00FE5F95">
      <w:pPr>
        <w:pStyle w:val="NormaleWeb"/>
        <w:numPr>
          <w:ilvl w:val="0"/>
          <w:numId w:val="6"/>
        </w:numPr>
        <w:spacing w:before="0" w:beforeAutospacing="0" w:after="0" w:line="480" w:lineRule="auto"/>
        <w:ind w:left="426" w:hanging="426"/>
        <w:jc w:val="both"/>
      </w:pPr>
      <w:r w:rsidRPr="00C47E26">
        <w:t xml:space="preserve">Con deliberazione del Consiglio comunale del 30/12/2023, n. 43 efficace ai sensi di legge, è stato approvato il </w:t>
      </w:r>
      <w:r w:rsidRPr="00C47E26">
        <w:rPr>
          <w:bCs/>
        </w:rPr>
        <w:t xml:space="preserve">piano di razionalizzazione delle partecipazioni del Comune di Travacò Siccomario ai sensi dell’art. 20 del </w:t>
      </w:r>
      <w:r w:rsidRPr="00C47E26">
        <w:t xml:space="preserve">d.lgs. </w:t>
      </w:r>
      <w:r w:rsidRPr="00C47E26">
        <w:rPr>
          <w:bCs/>
        </w:rPr>
        <w:t>19/08/2016 n. 175 - anno 2023</w:t>
      </w:r>
      <w:r w:rsidR="00455457" w:rsidRPr="00C47E26">
        <w:rPr>
          <w:bCs/>
        </w:rPr>
        <w:t>;</w:t>
      </w:r>
    </w:p>
    <w:p w:rsidR="00D55F32" w:rsidRPr="00C47E26" w:rsidRDefault="00D55F32" w:rsidP="00FE5F95">
      <w:pPr>
        <w:pStyle w:val="NormaleWeb"/>
        <w:numPr>
          <w:ilvl w:val="0"/>
          <w:numId w:val="6"/>
        </w:numPr>
        <w:spacing w:before="0" w:beforeAutospacing="0" w:after="0" w:line="480" w:lineRule="auto"/>
        <w:ind w:left="426" w:hanging="426"/>
        <w:jc w:val="both"/>
      </w:pPr>
      <w:r w:rsidRPr="00C47E26">
        <w:t xml:space="preserve">Con deliberazione del Consiglio comunale del 06/12/2024, n. 51 efficace ai sensi di legge, è stato approvato il </w:t>
      </w:r>
      <w:r w:rsidRPr="00C47E26">
        <w:rPr>
          <w:bCs/>
        </w:rPr>
        <w:t xml:space="preserve">piano di razionalizzazione delle partecipazioni del Comune di Travacò Siccomario ai sensi dell’art. 20 del </w:t>
      </w:r>
      <w:r w:rsidRPr="00C47E26">
        <w:t xml:space="preserve">d.lgs. </w:t>
      </w:r>
      <w:r w:rsidRPr="00C47E26">
        <w:rPr>
          <w:bCs/>
        </w:rPr>
        <w:t>19/08/2016 n. 175 - anno 2024</w:t>
      </w:r>
      <w:r w:rsidR="00455457" w:rsidRPr="00C47E26">
        <w:rPr>
          <w:bCs/>
        </w:rPr>
        <w:t>;</w:t>
      </w:r>
    </w:p>
    <w:p w:rsidR="00507FFC" w:rsidRPr="007C273E" w:rsidRDefault="00507FFC" w:rsidP="00886827">
      <w:pPr>
        <w:autoSpaceDE w:val="0"/>
        <w:autoSpaceDN w:val="0"/>
        <w:adjustRightInd w:val="0"/>
        <w:spacing w:after="0" w:line="480" w:lineRule="auto"/>
        <w:jc w:val="both"/>
        <w:rPr>
          <w:rFonts w:ascii="Times New Roman" w:hAnsi="Times New Roman"/>
          <w:b/>
          <w:sz w:val="24"/>
          <w:szCs w:val="24"/>
          <w:lang w:eastAsia="it-IT"/>
        </w:rPr>
      </w:pPr>
      <w:r w:rsidRPr="007C273E">
        <w:rPr>
          <w:rFonts w:ascii="Times New Roman" w:hAnsi="Times New Roman"/>
          <w:b/>
          <w:sz w:val="24"/>
          <w:szCs w:val="24"/>
          <w:lang w:eastAsia="it-IT"/>
        </w:rPr>
        <w:t xml:space="preserve">1.4.1 - </w:t>
      </w:r>
      <w:r w:rsidRPr="007C273E">
        <w:rPr>
          <w:rFonts w:ascii="Times New Roman" w:hAnsi="Times New Roman"/>
          <w:b/>
          <w:i/>
          <w:sz w:val="24"/>
          <w:szCs w:val="24"/>
          <w:lang w:eastAsia="it-IT"/>
        </w:rPr>
        <w:t xml:space="preserve">ASM Pavia s.p.a. </w:t>
      </w:r>
    </w:p>
    <w:p w:rsidR="00507FFC" w:rsidRPr="007C273E" w:rsidRDefault="00507FFC" w:rsidP="00886827">
      <w:pPr>
        <w:autoSpaceDE w:val="0"/>
        <w:autoSpaceDN w:val="0"/>
        <w:adjustRightInd w:val="0"/>
        <w:spacing w:after="0" w:line="480" w:lineRule="auto"/>
        <w:jc w:val="both"/>
        <w:rPr>
          <w:rFonts w:ascii="Times New Roman" w:hAnsi="Times New Roman"/>
          <w:bCs/>
          <w:sz w:val="24"/>
          <w:szCs w:val="24"/>
        </w:rPr>
      </w:pPr>
      <w:r w:rsidRPr="007C273E">
        <w:rPr>
          <w:rFonts w:ascii="Times New Roman" w:hAnsi="Times New Roman"/>
          <w:sz w:val="24"/>
          <w:szCs w:val="24"/>
          <w:lang w:eastAsia="it-IT"/>
        </w:rPr>
        <w:t xml:space="preserve">Il Comune di </w:t>
      </w:r>
      <w:r w:rsidR="003A4E99">
        <w:rPr>
          <w:rFonts w:ascii="Times New Roman" w:hAnsi="Times New Roman"/>
          <w:sz w:val="24"/>
          <w:szCs w:val="24"/>
          <w:lang w:eastAsia="it-IT"/>
        </w:rPr>
        <w:t>Travacò Siccomario,</w:t>
      </w:r>
      <w:r w:rsidRPr="007C273E">
        <w:rPr>
          <w:rFonts w:ascii="Times New Roman" w:hAnsi="Times New Roman"/>
          <w:sz w:val="24"/>
          <w:szCs w:val="24"/>
          <w:lang w:eastAsia="it-IT"/>
        </w:rPr>
        <w:t xml:space="preserve"> sia nel </w:t>
      </w:r>
      <w:r w:rsidRPr="007C273E">
        <w:rPr>
          <w:rFonts w:ascii="Times New Roman" w:hAnsi="Times New Roman"/>
          <w:sz w:val="24"/>
          <w:szCs w:val="24"/>
        </w:rPr>
        <w:t xml:space="preserve">Piano di razionalizzazione del 2015, sia nella </w:t>
      </w:r>
      <w:r w:rsidRPr="007C273E">
        <w:rPr>
          <w:rFonts w:ascii="Times New Roman" w:hAnsi="Times New Roman"/>
          <w:sz w:val="24"/>
          <w:szCs w:val="24"/>
          <w:lang w:eastAsia="it-IT"/>
        </w:rPr>
        <w:t xml:space="preserve">revisione straordinaria delle partecipazioni del 2017, sia nei </w:t>
      </w:r>
      <w:r w:rsidRPr="007C273E">
        <w:rPr>
          <w:rFonts w:ascii="Times New Roman" w:hAnsi="Times New Roman"/>
          <w:bCs/>
          <w:sz w:val="24"/>
          <w:szCs w:val="24"/>
        </w:rPr>
        <w:t xml:space="preserve">piani di razionalizzazione periodica delle partecipazioni pubbliche degli anni 2018, 2019, 2020, 2021, 2022, 2023 e 2024 adottati ai sensi dell’art. 20 del </w:t>
      </w:r>
      <w:r w:rsidRPr="007C273E">
        <w:rPr>
          <w:rFonts w:ascii="Times New Roman" w:hAnsi="Times New Roman"/>
          <w:sz w:val="24"/>
          <w:szCs w:val="24"/>
        </w:rPr>
        <w:t xml:space="preserve">d.lgs. </w:t>
      </w:r>
      <w:r w:rsidRPr="007C273E">
        <w:rPr>
          <w:rFonts w:ascii="Times New Roman" w:hAnsi="Times New Roman"/>
          <w:bCs/>
          <w:sz w:val="24"/>
          <w:szCs w:val="24"/>
        </w:rPr>
        <w:t>19/08/2016, n. 175, ha disposto</w:t>
      </w:r>
      <w:r w:rsidRPr="007C273E">
        <w:rPr>
          <w:rFonts w:ascii="Times New Roman" w:hAnsi="Times New Roman"/>
          <w:sz w:val="24"/>
          <w:szCs w:val="24"/>
          <w:lang w:eastAsia="it-IT"/>
        </w:rPr>
        <w:t xml:space="preserve"> il mantenimento della società </w:t>
      </w:r>
      <w:r w:rsidRPr="007C273E">
        <w:rPr>
          <w:rFonts w:ascii="Times New Roman" w:hAnsi="Times New Roman"/>
          <w:i/>
          <w:sz w:val="24"/>
          <w:szCs w:val="24"/>
          <w:lang w:eastAsia="it-IT"/>
        </w:rPr>
        <w:t>in house</w:t>
      </w:r>
      <w:r w:rsidRPr="007C273E">
        <w:rPr>
          <w:rFonts w:ascii="Times New Roman" w:hAnsi="Times New Roman"/>
          <w:sz w:val="24"/>
          <w:szCs w:val="24"/>
          <w:lang w:eastAsia="it-IT"/>
        </w:rPr>
        <w:t xml:space="preserve"> ASM Pavia spa.</w:t>
      </w:r>
      <w:r w:rsidRPr="007C273E">
        <w:rPr>
          <w:rFonts w:ascii="Times New Roman" w:hAnsi="Times New Roman"/>
          <w:bCs/>
          <w:sz w:val="24"/>
          <w:szCs w:val="24"/>
        </w:rPr>
        <w:t xml:space="preserve"> </w:t>
      </w:r>
    </w:p>
    <w:p w:rsidR="00507FFC" w:rsidRPr="007C273E" w:rsidRDefault="00507FFC" w:rsidP="00A350BA">
      <w:pPr>
        <w:autoSpaceDE w:val="0"/>
        <w:autoSpaceDN w:val="0"/>
        <w:adjustRightInd w:val="0"/>
        <w:spacing w:after="0" w:line="480" w:lineRule="auto"/>
        <w:jc w:val="both"/>
        <w:rPr>
          <w:rFonts w:ascii="Times New Roman" w:hAnsi="Times New Roman"/>
          <w:sz w:val="24"/>
          <w:szCs w:val="24"/>
          <w:lang w:eastAsia="it-IT"/>
        </w:rPr>
      </w:pPr>
      <w:r w:rsidRPr="007C273E">
        <w:rPr>
          <w:rFonts w:ascii="Times New Roman" w:hAnsi="Times New Roman"/>
          <w:sz w:val="24"/>
          <w:szCs w:val="24"/>
          <w:lang w:eastAsia="it-IT"/>
        </w:rPr>
        <w:t>Si segnala che Asm Pavia spa è una società a controllo pubblico che adotta un sistema di contabilità analitica e separata per le attività oggetto di diritti speciali o esclusivi svolte insieme ad altre attività in regime di mercato secondo le indicazioni dettate dalla ARERA.</w:t>
      </w:r>
    </w:p>
    <w:p w:rsidR="00507FFC" w:rsidRPr="007C273E" w:rsidRDefault="00507FFC" w:rsidP="00886827">
      <w:pPr>
        <w:spacing w:after="0" w:line="480" w:lineRule="auto"/>
        <w:jc w:val="both"/>
        <w:rPr>
          <w:rFonts w:ascii="Times New Roman" w:hAnsi="Times New Roman"/>
          <w:sz w:val="24"/>
          <w:szCs w:val="24"/>
        </w:rPr>
      </w:pPr>
      <w:r w:rsidRPr="007C273E">
        <w:rPr>
          <w:rFonts w:ascii="Times New Roman" w:hAnsi="Times New Roman"/>
          <w:bCs/>
          <w:sz w:val="24"/>
          <w:szCs w:val="24"/>
        </w:rPr>
        <w:t>L</w:t>
      </w:r>
      <w:r w:rsidRPr="007C273E">
        <w:rPr>
          <w:rFonts w:ascii="Times New Roman" w:hAnsi="Times New Roman"/>
          <w:sz w:val="24"/>
          <w:szCs w:val="24"/>
        </w:rPr>
        <w:t>a re</w:t>
      </w:r>
      <w:r w:rsidRPr="007C273E">
        <w:rPr>
          <w:rFonts w:ascii="Times New Roman" w:hAnsi="Times New Roman"/>
          <w:bCs/>
          <w:sz w:val="24"/>
          <w:szCs w:val="24"/>
        </w:rPr>
        <w:t xml:space="preserve">visione annuale delle partecipazioni societarie per l’anno 2022, approvata con deliberazione </w:t>
      </w:r>
      <w:r w:rsidRPr="007C273E">
        <w:rPr>
          <w:rFonts w:ascii="Times New Roman" w:hAnsi="Times New Roman"/>
          <w:sz w:val="24"/>
          <w:szCs w:val="24"/>
        </w:rPr>
        <w:t>del Consiglio comunale 21/12/2022, n. 60</w:t>
      </w:r>
      <w:r w:rsidRPr="007C273E">
        <w:rPr>
          <w:rFonts w:ascii="Times New Roman" w:hAnsi="Times New Roman"/>
          <w:bCs/>
          <w:sz w:val="24"/>
          <w:szCs w:val="24"/>
        </w:rPr>
        <w:t xml:space="preserve">, </w:t>
      </w:r>
      <w:r w:rsidRPr="007C273E">
        <w:rPr>
          <w:rFonts w:ascii="Times New Roman" w:hAnsi="Times New Roman"/>
          <w:sz w:val="24"/>
          <w:szCs w:val="24"/>
        </w:rPr>
        <w:t xml:space="preserve">efficace ai sensi di legge, ha previsto per ASM Pavia spa come azione di razionalizzazione il contenimento dei costi ai sensi dell'art. 19, del d.lgs. 19/08/2016, n. 175, formulando uno specifico obiettivo per il triennio 2022-2024 in termini di incidenza dei costi di funzionamento rispetto all’andamento del valore della produzione che tenga conto delle risultanze di bilancio di esercizio di periodi precedenti (media triennio 2018-2020 per il 2022 a scorrere per ogni anno successivo), con esclusione delle componenti di costo e di ricavo la cui entità o incidenza assumono carattere eccezionale. L’obiettivo così come formulato è stato </w:t>
      </w:r>
      <w:r w:rsidRPr="007C273E">
        <w:rPr>
          <w:rFonts w:ascii="Times New Roman" w:hAnsi="Times New Roman"/>
          <w:sz w:val="24"/>
          <w:szCs w:val="24"/>
        </w:rPr>
        <w:lastRenderedPageBreak/>
        <w:t>confermato anche per l’anno 2024 dal piano di razionalizzazione approvato con deliberazione 21/12/2023 n. 47.</w:t>
      </w:r>
    </w:p>
    <w:p w:rsidR="00507FFC" w:rsidRPr="007C273E" w:rsidRDefault="00507FFC" w:rsidP="00194592">
      <w:pPr>
        <w:spacing w:after="0" w:line="480" w:lineRule="auto"/>
        <w:jc w:val="both"/>
        <w:rPr>
          <w:rFonts w:ascii="Times New Roman" w:hAnsi="Times New Roman"/>
          <w:sz w:val="24"/>
          <w:szCs w:val="24"/>
        </w:rPr>
      </w:pPr>
      <w:r w:rsidRPr="007C273E">
        <w:rPr>
          <w:rFonts w:ascii="Times New Roman" w:hAnsi="Times New Roman"/>
          <w:sz w:val="24"/>
          <w:szCs w:val="24"/>
        </w:rPr>
        <w:t xml:space="preserve">L’obiettivo, condiviso con completezza di parametri dal comitato del controllo analogo in data 21/02/2022 è stato successivamente approvato dall’Assemblea dei soci in data 28/03/2022 e prevede che </w:t>
      </w:r>
      <w:r w:rsidRPr="007C273E">
        <w:rPr>
          <w:rFonts w:ascii="Times New Roman" w:hAnsi="Times New Roman"/>
          <w:bCs/>
          <w:sz w:val="24"/>
          <w:szCs w:val="24"/>
        </w:rPr>
        <w:t>in ciascun esercizio del triennio 2022-2024</w:t>
      </w:r>
      <w:r w:rsidRPr="007C273E">
        <w:rPr>
          <w:rFonts w:ascii="Times New Roman" w:hAnsi="Times New Roman"/>
          <w:sz w:val="24"/>
          <w:szCs w:val="24"/>
        </w:rPr>
        <w:t xml:space="preserve">: </w:t>
      </w:r>
    </w:p>
    <w:p w:rsidR="00507FFC" w:rsidRPr="007C273E" w:rsidRDefault="00507FFC" w:rsidP="00194592">
      <w:pPr>
        <w:pStyle w:val="Default"/>
        <w:numPr>
          <w:ilvl w:val="0"/>
          <w:numId w:val="5"/>
        </w:numPr>
        <w:spacing w:line="480" w:lineRule="auto"/>
        <w:jc w:val="both"/>
        <w:rPr>
          <w:rFonts w:ascii="Times New Roman" w:hAnsi="Times New Roman" w:cs="Times New Roman"/>
          <w:color w:val="auto"/>
        </w:rPr>
      </w:pPr>
      <w:r w:rsidRPr="007C273E">
        <w:rPr>
          <w:rFonts w:ascii="Times New Roman" w:hAnsi="Times New Roman" w:cs="Times New Roman"/>
          <w:color w:val="auto"/>
        </w:rPr>
        <w:t xml:space="preserve">nel caso di una variazione in </w:t>
      </w:r>
      <w:r w:rsidRPr="007C273E">
        <w:rPr>
          <w:rFonts w:ascii="Times New Roman" w:hAnsi="Times New Roman" w:cs="Times New Roman"/>
          <w:color w:val="auto"/>
          <w:u w:val="single"/>
        </w:rPr>
        <w:t>aumento</w:t>
      </w:r>
      <w:r w:rsidRPr="007C273E">
        <w:rPr>
          <w:rFonts w:ascii="Times New Roman" w:hAnsi="Times New Roman" w:cs="Times New Roman"/>
          <w:color w:val="auto"/>
        </w:rPr>
        <w:t xml:space="preserve"> del valore della produzione rispetto al periodo precedente, l’incidenza dei costi di funzionamento dovrà diminuire, in funzione dell’aumento del valore della produzione, con un minimo dello 0,5%; </w:t>
      </w:r>
    </w:p>
    <w:p w:rsidR="00507FFC" w:rsidRPr="007C273E" w:rsidRDefault="00507FFC" w:rsidP="00194592">
      <w:pPr>
        <w:pStyle w:val="Default"/>
        <w:numPr>
          <w:ilvl w:val="0"/>
          <w:numId w:val="5"/>
        </w:numPr>
        <w:spacing w:line="480" w:lineRule="auto"/>
        <w:jc w:val="both"/>
        <w:rPr>
          <w:rFonts w:ascii="Times New Roman" w:hAnsi="Times New Roman" w:cs="Times New Roman"/>
          <w:color w:val="auto"/>
        </w:rPr>
      </w:pPr>
      <w:r w:rsidRPr="007C273E">
        <w:rPr>
          <w:rFonts w:ascii="Times New Roman" w:hAnsi="Times New Roman" w:cs="Times New Roman"/>
          <w:color w:val="auto"/>
        </w:rPr>
        <w:t xml:space="preserve">nel caso di una variazione in </w:t>
      </w:r>
      <w:r w:rsidRPr="007C273E">
        <w:rPr>
          <w:rFonts w:ascii="Times New Roman" w:hAnsi="Times New Roman" w:cs="Times New Roman"/>
          <w:color w:val="auto"/>
          <w:u w:val="single"/>
        </w:rPr>
        <w:t>diminuzione</w:t>
      </w:r>
      <w:r w:rsidRPr="007C273E">
        <w:rPr>
          <w:rFonts w:ascii="Times New Roman" w:hAnsi="Times New Roman" w:cs="Times New Roman"/>
          <w:color w:val="auto"/>
        </w:rPr>
        <w:t xml:space="preserve"> del valore della produzione rispetto al periodo precedente, i costi di funzionamento dovranno ridursi in misura tale da lasciare almeno invariata la loro incidenza sul valore della produzione. </w:t>
      </w:r>
    </w:p>
    <w:p w:rsidR="00507FFC" w:rsidRPr="007C273E" w:rsidRDefault="00507FFC" w:rsidP="00022862">
      <w:pPr>
        <w:autoSpaceDE w:val="0"/>
        <w:autoSpaceDN w:val="0"/>
        <w:adjustRightInd w:val="0"/>
        <w:spacing w:after="0" w:line="480" w:lineRule="auto"/>
        <w:jc w:val="both"/>
        <w:rPr>
          <w:rFonts w:ascii="Times New Roman" w:hAnsi="Times New Roman"/>
          <w:color w:val="000000"/>
          <w:sz w:val="24"/>
          <w:szCs w:val="24"/>
        </w:rPr>
      </w:pPr>
      <w:r w:rsidRPr="007C273E">
        <w:rPr>
          <w:rFonts w:ascii="Times New Roman" w:hAnsi="Times New Roman"/>
          <w:sz w:val="24"/>
          <w:szCs w:val="24"/>
        </w:rPr>
        <w:t>L’assemblea dei soci ha inoltre deliberato che questo obiettivo rileva ai fini dell’erogazione della parte variabile del compenso dell’organo amministrativo della società.</w:t>
      </w:r>
    </w:p>
    <w:p w:rsidR="00507FFC" w:rsidRPr="007C273E" w:rsidRDefault="00507FFC" w:rsidP="00D306B0">
      <w:pPr>
        <w:pStyle w:val="NormaleWeb"/>
        <w:spacing w:before="0" w:beforeAutospacing="0" w:after="0" w:line="480" w:lineRule="auto"/>
        <w:jc w:val="both"/>
      </w:pPr>
      <w:r w:rsidRPr="007C273E">
        <w:rPr>
          <w:lang w:val="de-DE"/>
        </w:rPr>
        <w:t xml:space="preserve">Con nota del </w:t>
      </w:r>
      <w:r w:rsidRPr="007C273E">
        <w:t xml:space="preserve">30/09/2025 </w:t>
      </w:r>
      <w:r w:rsidRPr="007C273E">
        <w:rPr>
          <w:lang w:val="de-DE"/>
        </w:rPr>
        <w:t xml:space="preserve">PG n. 0124297, </w:t>
      </w:r>
      <w:r w:rsidRPr="007C273E">
        <w:t xml:space="preserve">è stata richiesta alla società la consuntivazione sull’attuazione degli indirizzi strategici-obiettivi gestionali 2024. La società vi ha provveduto in data 18/10/2025 (PG n. 132804) sulla base degli indirizzi strategici approvati dal Consiglio comunale, in quanto la loro verifica necessitava della chiusura del bilancio di esercizio al 31/12/2024 approvato dall’Assemblea dei Soci in data 02/07/2025. Preliminarmente si ricorda che nella definizione dell’obiettivo </w:t>
      </w:r>
      <w:r w:rsidRPr="007C273E">
        <w:rPr>
          <w:color w:val="000000"/>
        </w:rPr>
        <w:t>sono state escluse tutte le voci di costo e di ricavo aventi carattere eccezionale. Sono stati presi pertanto in considerazione i costi operativi, intendendosi per tali “</w:t>
      </w:r>
      <w:r w:rsidRPr="007C273E">
        <w:rPr>
          <w:i/>
          <w:color w:val="000000"/>
        </w:rPr>
        <w:t>il totale dei costi della produzione di cui alla lettera B dell’art. 2425 del codice civile, esclusi:</w:t>
      </w:r>
    </w:p>
    <w:p w:rsidR="00507FFC" w:rsidRPr="007C273E" w:rsidRDefault="00507FFC" w:rsidP="00022862">
      <w:pPr>
        <w:autoSpaceDE w:val="0"/>
        <w:autoSpaceDN w:val="0"/>
        <w:adjustRightInd w:val="0"/>
        <w:spacing w:after="0" w:line="480" w:lineRule="auto"/>
        <w:ind w:left="360"/>
        <w:jc w:val="both"/>
        <w:rPr>
          <w:rFonts w:ascii="Times New Roman" w:hAnsi="Times New Roman"/>
          <w:i/>
          <w:color w:val="000000"/>
          <w:sz w:val="24"/>
          <w:szCs w:val="24"/>
        </w:rPr>
      </w:pPr>
      <w:r w:rsidRPr="007C273E">
        <w:rPr>
          <w:rFonts w:ascii="Times New Roman" w:hAnsi="Times New Roman"/>
          <w:i/>
          <w:color w:val="000000"/>
          <w:sz w:val="24"/>
          <w:szCs w:val="24"/>
        </w:rPr>
        <w:t>a) ammortamenti e svalutazioni;</w:t>
      </w:r>
    </w:p>
    <w:p w:rsidR="00507FFC" w:rsidRPr="007C273E" w:rsidRDefault="00507FFC" w:rsidP="00022862">
      <w:pPr>
        <w:autoSpaceDE w:val="0"/>
        <w:autoSpaceDN w:val="0"/>
        <w:adjustRightInd w:val="0"/>
        <w:spacing w:after="0" w:line="480" w:lineRule="auto"/>
        <w:ind w:left="360"/>
        <w:jc w:val="both"/>
        <w:rPr>
          <w:rFonts w:ascii="Times New Roman" w:hAnsi="Times New Roman"/>
          <w:i/>
          <w:color w:val="000000"/>
          <w:sz w:val="24"/>
          <w:szCs w:val="24"/>
        </w:rPr>
      </w:pPr>
      <w:r w:rsidRPr="007C273E">
        <w:rPr>
          <w:rFonts w:ascii="Times New Roman" w:hAnsi="Times New Roman"/>
          <w:i/>
          <w:color w:val="000000"/>
          <w:sz w:val="24"/>
          <w:szCs w:val="24"/>
        </w:rPr>
        <w:t>b) accantonamenti per rischi;</w:t>
      </w:r>
    </w:p>
    <w:p w:rsidR="00507FFC" w:rsidRPr="007C273E" w:rsidRDefault="00507FFC" w:rsidP="00022862">
      <w:pPr>
        <w:autoSpaceDE w:val="0"/>
        <w:autoSpaceDN w:val="0"/>
        <w:adjustRightInd w:val="0"/>
        <w:spacing w:after="0" w:line="480" w:lineRule="auto"/>
        <w:ind w:left="360"/>
        <w:jc w:val="both"/>
        <w:rPr>
          <w:rFonts w:ascii="Times New Roman" w:hAnsi="Times New Roman"/>
          <w:i/>
          <w:color w:val="000000"/>
          <w:sz w:val="24"/>
          <w:szCs w:val="24"/>
        </w:rPr>
      </w:pPr>
      <w:r w:rsidRPr="007C273E">
        <w:rPr>
          <w:rFonts w:ascii="Times New Roman" w:hAnsi="Times New Roman"/>
          <w:i/>
          <w:color w:val="000000"/>
          <w:sz w:val="24"/>
          <w:szCs w:val="24"/>
        </w:rPr>
        <w:t>c) altri accantonamenti;</w:t>
      </w:r>
    </w:p>
    <w:p w:rsidR="00507FFC" w:rsidRPr="007C273E" w:rsidRDefault="00507FFC" w:rsidP="00022862">
      <w:pPr>
        <w:autoSpaceDE w:val="0"/>
        <w:autoSpaceDN w:val="0"/>
        <w:adjustRightInd w:val="0"/>
        <w:spacing w:after="0" w:line="480" w:lineRule="auto"/>
        <w:ind w:left="360"/>
        <w:jc w:val="both"/>
        <w:rPr>
          <w:rFonts w:ascii="Times New Roman" w:hAnsi="Times New Roman"/>
          <w:i/>
          <w:color w:val="000000"/>
          <w:sz w:val="24"/>
          <w:szCs w:val="24"/>
        </w:rPr>
      </w:pPr>
      <w:r w:rsidRPr="007C273E">
        <w:rPr>
          <w:rFonts w:ascii="Times New Roman" w:hAnsi="Times New Roman"/>
          <w:i/>
          <w:color w:val="000000"/>
          <w:sz w:val="24"/>
          <w:szCs w:val="24"/>
        </w:rPr>
        <w:t xml:space="preserve">d) i costi sostenuti per interventi obbligatori concernenti l’adeguamento dei processi e delle infrastrutture aziendali, nonché dei luoghi di lavoro in ottemperanza alle normative vigenti (quali ad esempio le spese sostenute per la sicurezza sui luoghi di lavoro e la salubrità dei </w:t>
      </w:r>
      <w:r w:rsidRPr="007C273E">
        <w:rPr>
          <w:rFonts w:ascii="Times New Roman" w:hAnsi="Times New Roman"/>
          <w:i/>
          <w:color w:val="000000"/>
          <w:sz w:val="24"/>
          <w:szCs w:val="24"/>
        </w:rPr>
        <w:lastRenderedPageBreak/>
        <w:t>lavoratori, per la sorveglianza sanitaria, formazione ed addestramento in materia di sicurezza, dispositivi di protezione individuale, vestiario);</w:t>
      </w:r>
    </w:p>
    <w:p w:rsidR="00507FFC" w:rsidRPr="007C273E" w:rsidRDefault="00507FFC" w:rsidP="00022862">
      <w:pPr>
        <w:autoSpaceDE w:val="0"/>
        <w:autoSpaceDN w:val="0"/>
        <w:adjustRightInd w:val="0"/>
        <w:spacing w:after="0" w:line="480" w:lineRule="auto"/>
        <w:ind w:left="360"/>
        <w:jc w:val="both"/>
        <w:rPr>
          <w:rFonts w:ascii="Times New Roman" w:hAnsi="Times New Roman"/>
          <w:i/>
          <w:color w:val="000000"/>
          <w:sz w:val="24"/>
          <w:szCs w:val="24"/>
        </w:rPr>
      </w:pPr>
      <w:r w:rsidRPr="007C273E">
        <w:rPr>
          <w:rFonts w:ascii="Times New Roman" w:hAnsi="Times New Roman"/>
          <w:i/>
          <w:color w:val="000000"/>
          <w:sz w:val="24"/>
          <w:szCs w:val="24"/>
        </w:rPr>
        <w:t>e) le imposte indirette, tasse e contributi comprese tra gli oneri diversi di gestione (quali ad esempio marche da bollo, IMU, TARI, tasse di proprietà autovetture, TOSAP, tassa registrazione contratti, tassa vidimazione annuale, contributi obbligatori ad Autorità);</w:t>
      </w:r>
    </w:p>
    <w:p w:rsidR="00507FFC" w:rsidRPr="007C273E" w:rsidRDefault="00507FFC" w:rsidP="00022862">
      <w:pPr>
        <w:autoSpaceDE w:val="0"/>
        <w:autoSpaceDN w:val="0"/>
        <w:adjustRightInd w:val="0"/>
        <w:spacing w:after="0" w:line="480" w:lineRule="auto"/>
        <w:ind w:left="360"/>
        <w:jc w:val="both"/>
        <w:rPr>
          <w:rFonts w:ascii="Times New Roman" w:hAnsi="Times New Roman"/>
          <w:color w:val="000000"/>
          <w:sz w:val="24"/>
          <w:szCs w:val="24"/>
        </w:rPr>
      </w:pPr>
      <w:r w:rsidRPr="007C273E">
        <w:rPr>
          <w:rFonts w:ascii="Times New Roman" w:hAnsi="Times New Roman"/>
          <w:i/>
          <w:color w:val="000000"/>
          <w:sz w:val="24"/>
          <w:szCs w:val="24"/>
        </w:rPr>
        <w:t>f) sopravvenienze e insussistenze attive e passive di natura ordinaria e straordinaria</w:t>
      </w:r>
      <w:r w:rsidRPr="007C273E">
        <w:rPr>
          <w:rFonts w:ascii="Times New Roman" w:hAnsi="Times New Roman"/>
          <w:color w:val="000000"/>
          <w:sz w:val="24"/>
          <w:szCs w:val="24"/>
        </w:rPr>
        <w:t>”.</w:t>
      </w:r>
    </w:p>
    <w:p w:rsidR="00507FFC" w:rsidRPr="007C273E" w:rsidRDefault="00507FFC" w:rsidP="00022862">
      <w:pPr>
        <w:autoSpaceDE w:val="0"/>
        <w:autoSpaceDN w:val="0"/>
        <w:adjustRightInd w:val="0"/>
        <w:spacing w:after="0" w:line="480" w:lineRule="auto"/>
        <w:jc w:val="both"/>
        <w:rPr>
          <w:rFonts w:ascii="Times New Roman" w:hAnsi="Times New Roman"/>
          <w:color w:val="000000"/>
          <w:sz w:val="24"/>
          <w:szCs w:val="24"/>
        </w:rPr>
      </w:pPr>
      <w:r w:rsidRPr="007C273E">
        <w:rPr>
          <w:rFonts w:ascii="Times New Roman" w:hAnsi="Times New Roman"/>
          <w:color w:val="000000"/>
          <w:sz w:val="24"/>
          <w:szCs w:val="24"/>
        </w:rPr>
        <w:t>Si precisa che, per omogeneità di confronto, analogamente a quanto specificato in materia di costi, anche dal valore della produzione sono stati esclusi i proventi di entità o incidenza di natura eccezionale o di natura straordinaria, intendendo con ciò i soli proventi non prevedibili, né preventivabili secondo i principi della professionalità organizzativa e gestionale che caratterizzano la figura dell’imprenditore come definito dall’art. 2082 del codice civile.</w:t>
      </w:r>
    </w:p>
    <w:p w:rsidR="00507FFC" w:rsidRPr="007C273E" w:rsidRDefault="00507FFC" w:rsidP="00D306B0">
      <w:pPr>
        <w:autoSpaceDE w:val="0"/>
        <w:autoSpaceDN w:val="0"/>
        <w:adjustRightInd w:val="0"/>
        <w:spacing w:after="0" w:line="480" w:lineRule="auto"/>
        <w:jc w:val="both"/>
        <w:rPr>
          <w:rFonts w:ascii="Times New Roman" w:hAnsi="Times New Roman"/>
          <w:color w:val="000000"/>
          <w:sz w:val="24"/>
          <w:szCs w:val="24"/>
        </w:rPr>
      </w:pPr>
      <w:r w:rsidRPr="007C273E">
        <w:rPr>
          <w:rFonts w:ascii="Times New Roman" w:hAnsi="Times New Roman"/>
          <w:color w:val="000000"/>
          <w:sz w:val="24"/>
          <w:szCs w:val="24"/>
        </w:rPr>
        <w:t>Sono stati presi pertanto in considerazione “</w:t>
      </w:r>
      <w:r w:rsidRPr="007C273E">
        <w:rPr>
          <w:rFonts w:ascii="Times New Roman" w:hAnsi="Times New Roman"/>
          <w:i/>
          <w:color w:val="000000"/>
          <w:sz w:val="24"/>
          <w:szCs w:val="24"/>
        </w:rPr>
        <w:t xml:space="preserve">i ricavi e proventi intendendosi per tali il totale dei ricavi e proventi della produzione di cui alla lettera A dell’art. 2425 del codice civile, esclusi i proventi per </w:t>
      </w:r>
      <w:r w:rsidRPr="00531D47">
        <w:rPr>
          <w:rFonts w:ascii="Times New Roman" w:hAnsi="Times New Roman"/>
          <w:i/>
          <w:color w:val="000000"/>
          <w:sz w:val="24"/>
          <w:szCs w:val="24"/>
        </w:rPr>
        <w:t xml:space="preserve">vendita di </w:t>
      </w:r>
      <w:r w:rsidRPr="00531D47">
        <w:rPr>
          <w:rFonts w:ascii="Times New Roman" w:hAnsi="Times New Roman"/>
          <w:i/>
          <w:sz w:val="24"/>
          <w:szCs w:val="24"/>
        </w:rPr>
        <w:t>cespiti aziendali ed eventuali altre voci di natura eccezionale o straordinaria come sopra definiti</w:t>
      </w:r>
      <w:r w:rsidRPr="00531D47">
        <w:rPr>
          <w:rFonts w:ascii="Times New Roman" w:hAnsi="Times New Roman"/>
          <w:sz w:val="24"/>
          <w:szCs w:val="24"/>
        </w:rPr>
        <w:t xml:space="preserve"> ”. Sono inoltre esclusi sia dal valore della produzione, sia dai costi operativi gli oneri connessi agli acquisti di beni e servizi per conto delle Pubbliche Amministrazioni (centrale di committenza per enti soci). La società, in sede di consuntivazione con nota 18/10/2025 (PG n. 132804), ha escluso dai conteggi le seguenti voci (come riportate in dettaglio nel documento di rendicontazione che si allega alla presente relazione)</w:t>
      </w:r>
      <w:r w:rsidRPr="00531D47">
        <w:rPr>
          <w:rFonts w:ascii="Times New Roman" w:hAnsi="Times New Roman"/>
          <w:color w:val="000000"/>
          <w:sz w:val="24"/>
          <w:szCs w:val="24"/>
        </w:rPr>
        <w:t>:</w:t>
      </w:r>
    </w:p>
    <w:p w:rsidR="00507FFC" w:rsidRPr="007C273E" w:rsidRDefault="00507FFC" w:rsidP="00022862">
      <w:pPr>
        <w:numPr>
          <w:ilvl w:val="0"/>
          <w:numId w:val="8"/>
        </w:numPr>
        <w:autoSpaceDE w:val="0"/>
        <w:autoSpaceDN w:val="0"/>
        <w:adjustRightInd w:val="0"/>
        <w:spacing w:after="0" w:line="480" w:lineRule="auto"/>
        <w:jc w:val="both"/>
        <w:rPr>
          <w:rFonts w:ascii="Times New Roman" w:hAnsi="Times New Roman"/>
          <w:sz w:val="24"/>
          <w:szCs w:val="24"/>
        </w:rPr>
      </w:pPr>
      <w:r w:rsidRPr="007C273E">
        <w:rPr>
          <w:rFonts w:ascii="Times New Roman" w:hAnsi="Times New Roman"/>
          <w:color w:val="000000"/>
          <w:sz w:val="24"/>
          <w:szCs w:val="24"/>
        </w:rPr>
        <w:t>le voci di costo e di ricavo di natura eccezionale o straordinaria (per es. il rimborso malpractice, rilascio fondi, sopravvenienze).</w:t>
      </w:r>
    </w:p>
    <w:p w:rsidR="00507FFC" w:rsidRPr="007C273E" w:rsidRDefault="00507FFC" w:rsidP="00022862">
      <w:pPr>
        <w:numPr>
          <w:ilvl w:val="0"/>
          <w:numId w:val="8"/>
        </w:numPr>
        <w:autoSpaceDE w:val="0"/>
        <w:autoSpaceDN w:val="0"/>
        <w:adjustRightInd w:val="0"/>
        <w:spacing w:after="0" w:line="480" w:lineRule="auto"/>
        <w:jc w:val="both"/>
        <w:rPr>
          <w:rFonts w:ascii="Times New Roman" w:hAnsi="Times New Roman"/>
          <w:sz w:val="24"/>
          <w:szCs w:val="24"/>
        </w:rPr>
      </w:pPr>
      <w:r w:rsidRPr="007C273E">
        <w:rPr>
          <w:rFonts w:ascii="Times New Roman" w:hAnsi="Times New Roman"/>
          <w:color w:val="000000"/>
          <w:sz w:val="24"/>
          <w:szCs w:val="24"/>
        </w:rPr>
        <w:t xml:space="preserve">le voci di costo e di ricavo che non sono nella disponibilità della società e non possono essere oggetto di riduzione (per es. Ammortamenti e svalutazioni, Accantonamenti per rischi, altri Accantonamenti, Costi sostenuti per interventi obbligatori concernenti l’adeguamento dei processi e delle infrastrutture aziendali, nonché dei luoghi di lavoro in ottemperanza alle normative vigenti (quali ad es. costi per far fronte </w:t>
      </w:r>
      <w:r>
        <w:rPr>
          <w:rFonts w:ascii="Times New Roman" w:hAnsi="Times New Roman"/>
          <w:color w:val="000000"/>
          <w:sz w:val="24"/>
          <w:szCs w:val="24"/>
        </w:rPr>
        <w:t>alla prevenzione del</w:t>
      </w:r>
      <w:r w:rsidRPr="007C273E">
        <w:rPr>
          <w:rFonts w:ascii="Times New Roman" w:hAnsi="Times New Roman"/>
          <w:color w:val="000000"/>
          <w:sz w:val="24"/>
          <w:szCs w:val="24"/>
        </w:rPr>
        <w:t xml:space="preserve"> COVID 19, costi del personale conseguenti a controversie di lavoro, valori bollati e marche, </w:t>
      </w:r>
      <w:r w:rsidRPr="007C273E">
        <w:rPr>
          <w:rFonts w:ascii="Times New Roman" w:hAnsi="Times New Roman"/>
          <w:color w:val="000000"/>
          <w:sz w:val="24"/>
          <w:szCs w:val="24"/>
        </w:rPr>
        <w:lastRenderedPageBreak/>
        <w:t xml:space="preserve">tassa registrazione contratti, tassa vidimazione annuale, imposte e tasse varie, contributo obbligatorio ARERA).  </w:t>
      </w:r>
    </w:p>
    <w:p w:rsidR="00507FFC" w:rsidRPr="007C273E" w:rsidRDefault="00507FFC" w:rsidP="00022862">
      <w:pPr>
        <w:numPr>
          <w:ilvl w:val="0"/>
          <w:numId w:val="8"/>
        </w:numPr>
        <w:autoSpaceDE w:val="0"/>
        <w:autoSpaceDN w:val="0"/>
        <w:adjustRightInd w:val="0"/>
        <w:spacing w:after="0" w:line="480" w:lineRule="auto"/>
        <w:jc w:val="both"/>
        <w:rPr>
          <w:rFonts w:ascii="Times New Roman" w:hAnsi="Times New Roman"/>
          <w:sz w:val="24"/>
          <w:szCs w:val="24"/>
        </w:rPr>
      </w:pPr>
      <w:r w:rsidRPr="007C273E">
        <w:rPr>
          <w:rFonts w:ascii="Times New Roman" w:hAnsi="Times New Roman"/>
          <w:color w:val="000000"/>
          <w:sz w:val="24"/>
          <w:szCs w:val="24"/>
        </w:rPr>
        <w:t>costi per attività straordinarie collegate alla redazione del piano industriale o di progetti specifici di sviluppo.</w:t>
      </w:r>
    </w:p>
    <w:p w:rsidR="00507FFC" w:rsidRPr="007C273E" w:rsidRDefault="00507FFC" w:rsidP="00022862">
      <w:pPr>
        <w:numPr>
          <w:ilvl w:val="0"/>
          <w:numId w:val="8"/>
        </w:numPr>
        <w:spacing w:after="0" w:line="480" w:lineRule="auto"/>
        <w:jc w:val="both"/>
        <w:rPr>
          <w:rFonts w:ascii="Times New Roman" w:hAnsi="Times New Roman"/>
          <w:sz w:val="24"/>
          <w:szCs w:val="24"/>
        </w:rPr>
      </w:pPr>
      <w:r w:rsidRPr="007C273E">
        <w:rPr>
          <w:rFonts w:ascii="Times New Roman" w:hAnsi="Times New Roman"/>
          <w:color w:val="000000"/>
          <w:sz w:val="24"/>
          <w:szCs w:val="24"/>
        </w:rPr>
        <w:t>costi dell’impatto dovuto all’aumento del costo medio delle materie prime (aumenti per carburanti per autotrazione, energia elettrica, metano riscaldamento, ecc).</w:t>
      </w:r>
    </w:p>
    <w:p w:rsidR="00507FFC" w:rsidRPr="007C273E" w:rsidRDefault="00507FFC" w:rsidP="00022862">
      <w:pPr>
        <w:spacing w:after="0" w:line="480" w:lineRule="auto"/>
        <w:jc w:val="both"/>
        <w:rPr>
          <w:rFonts w:ascii="Times New Roman" w:hAnsi="Times New Roman"/>
          <w:sz w:val="24"/>
          <w:szCs w:val="24"/>
        </w:rPr>
      </w:pPr>
      <w:r w:rsidRPr="007C273E">
        <w:rPr>
          <w:rFonts w:ascii="Times New Roman" w:hAnsi="Times New Roman"/>
          <w:sz w:val="24"/>
          <w:szCs w:val="24"/>
        </w:rPr>
        <w:t xml:space="preserve">Il seguente prospetto mostra il confronto tra il bilancio di esercizio al 31/12/2024 e i bilanci di esercizio del triennio 2020-2022 al netto delle voci escluse </w:t>
      </w:r>
    </w:p>
    <w:tbl>
      <w:tblPr>
        <w:tblW w:w="10095" w:type="dxa"/>
        <w:tblInd w:w="55" w:type="dxa"/>
        <w:tblCellMar>
          <w:left w:w="70" w:type="dxa"/>
          <w:right w:w="70" w:type="dxa"/>
        </w:tblCellMar>
        <w:tblLook w:val="00A0" w:firstRow="1" w:lastRow="0" w:firstColumn="1" w:lastColumn="0" w:noHBand="0" w:noVBand="0"/>
      </w:tblPr>
      <w:tblGrid>
        <w:gridCol w:w="2535"/>
        <w:gridCol w:w="1440"/>
        <w:gridCol w:w="1440"/>
        <w:gridCol w:w="1620"/>
        <w:gridCol w:w="1620"/>
        <w:gridCol w:w="1440"/>
      </w:tblGrid>
      <w:tr w:rsidR="00507FFC" w:rsidRPr="007C273E" w:rsidTr="00D82D86">
        <w:trPr>
          <w:trHeight w:val="300"/>
        </w:trPr>
        <w:tc>
          <w:tcPr>
            <w:tcW w:w="2535" w:type="dxa"/>
            <w:tcBorders>
              <w:top w:val="single" w:sz="4" w:space="0" w:color="auto"/>
              <w:left w:val="single" w:sz="4" w:space="0" w:color="auto"/>
              <w:bottom w:val="single" w:sz="4" w:space="0" w:color="auto"/>
              <w:right w:val="single" w:sz="4" w:space="0" w:color="auto"/>
            </w:tcBorders>
            <w:noWrap/>
            <w:vAlign w:val="bottom"/>
          </w:tcPr>
          <w:p w:rsidR="00507FFC" w:rsidRPr="007C273E" w:rsidRDefault="00507FFC" w:rsidP="00022862">
            <w:pPr>
              <w:spacing w:after="0" w:line="480" w:lineRule="auto"/>
              <w:rPr>
                <w:rFonts w:ascii="Times New Roman" w:hAnsi="Times New Roman"/>
                <w:color w:val="000000"/>
                <w:sz w:val="24"/>
                <w:szCs w:val="24"/>
              </w:rPr>
            </w:pPr>
            <w:r w:rsidRPr="007C273E">
              <w:rPr>
                <w:rFonts w:ascii="Times New Roman" w:hAnsi="Times New Roman"/>
                <w:color w:val="000000"/>
                <w:sz w:val="24"/>
                <w:szCs w:val="24"/>
              </w:rPr>
              <w:t> </w:t>
            </w:r>
          </w:p>
        </w:tc>
        <w:tc>
          <w:tcPr>
            <w:tcW w:w="1440" w:type="dxa"/>
            <w:tcBorders>
              <w:top w:val="single" w:sz="4" w:space="0" w:color="auto"/>
              <w:left w:val="nil"/>
              <w:bottom w:val="single" w:sz="4" w:space="0" w:color="auto"/>
              <w:right w:val="single" w:sz="4" w:space="0" w:color="auto"/>
            </w:tcBorders>
            <w:noWrap/>
            <w:vAlign w:val="bottom"/>
          </w:tcPr>
          <w:p w:rsidR="00507FFC" w:rsidRPr="007C273E" w:rsidRDefault="00507FFC" w:rsidP="00135684">
            <w:pPr>
              <w:spacing w:after="0" w:line="480" w:lineRule="auto"/>
              <w:rPr>
                <w:rFonts w:ascii="Times New Roman" w:hAnsi="Times New Roman"/>
                <w:color w:val="000000"/>
                <w:sz w:val="24"/>
                <w:szCs w:val="24"/>
              </w:rPr>
            </w:pPr>
            <w:r w:rsidRPr="007C273E">
              <w:rPr>
                <w:rFonts w:ascii="Times New Roman" w:hAnsi="Times New Roman"/>
                <w:color w:val="000000"/>
                <w:sz w:val="24"/>
                <w:szCs w:val="24"/>
              </w:rPr>
              <w:t>anno 2020</w:t>
            </w:r>
          </w:p>
        </w:tc>
        <w:tc>
          <w:tcPr>
            <w:tcW w:w="1440" w:type="dxa"/>
            <w:tcBorders>
              <w:top w:val="single" w:sz="4" w:space="0" w:color="auto"/>
              <w:left w:val="nil"/>
              <w:bottom w:val="single" w:sz="4" w:space="0" w:color="auto"/>
              <w:right w:val="single" w:sz="4" w:space="0" w:color="auto"/>
            </w:tcBorders>
            <w:noWrap/>
            <w:vAlign w:val="bottom"/>
          </w:tcPr>
          <w:p w:rsidR="00507FFC" w:rsidRPr="007C273E" w:rsidRDefault="00507FFC" w:rsidP="00135684">
            <w:pPr>
              <w:spacing w:after="0" w:line="480" w:lineRule="auto"/>
              <w:rPr>
                <w:rFonts w:ascii="Times New Roman" w:hAnsi="Times New Roman"/>
                <w:color w:val="000000"/>
                <w:sz w:val="24"/>
                <w:szCs w:val="24"/>
              </w:rPr>
            </w:pPr>
            <w:r w:rsidRPr="007C273E">
              <w:rPr>
                <w:rFonts w:ascii="Times New Roman" w:hAnsi="Times New Roman"/>
                <w:color w:val="000000"/>
                <w:sz w:val="24"/>
                <w:szCs w:val="24"/>
              </w:rPr>
              <w:t>anno 2021</w:t>
            </w:r>
          </w:p>
        </w:tc>
        <w:tc>
          <w:tcPr>
            <w:tcW w:w="1620" w:type="dxa"/>
            <w:tcBorders>
              <w:top w:val="single" w:sz="4" w:space="0" w:color="auto"/>
              <w:left w:val="nil"/>
              <w:bottom w:val="single" w:sz="4" w:space="0" w:color="auto"/>
              <w:right w:val="single" w:sz="4" w:space="0" w:color="auto"/>
            </w:tcBorders>
            <w:vAlign w:val="bottom"/>
          </w:tcPr>
          <w:p w:rsidR="00507FFC" w:rsidRPr="007C273E" w:rsidRDefault="00507FFC" w:rsidP="0094007A">
            <w:pPr>
              <w:spacing w:after="0" w:line="480" w:lineRule="auto"/>
              <w:rPr>
                <w:rFonts w:ascii="Times New Roman" w:hAnsi="Times New Roman"/>
                <w:color w:val="000000"/>
                <w:sz w:val="24"/>
                <w:szCs w:val="24"/>
              </w:rPr>
            </w:pPr>
            <w:r w:rsidRPr="007C273E">
              <w:rPr>
                <w:rFonts w:ascii="Times New Roman" w:hAnsi="Times New Roman"/>
                <w:color w:val="000000"/>
                <w:sz w:val="24"/>
                <w:szCs w:val="24"/>
              </w:rPr>
              <w:t>anno 2022</w:t>
            </w:r>
          </w:p>
        </w:tc>
        <w:tc>
          <w:tcPr>
            <w:tcW w:w="1620" w:type="dxa"/>
            <w:tcBorders>
              <w:top w:val="single" w:sz="4" w:space="0" w:color="auto"/>
              <w:left w:val="single" w:sz="4" w:space="0" w:color="auto"/>
              <w:bottom w:val="single" w:sz="4" w:space="0" w:color="auto"/>
              <w:right w:val="single" w:sz="4" w:space="0" w:color="auto"/>
            </w:tcBorders>
            <w:noWrap/>
            <w:vAlign w:val="bottom"/>
          </w:tcPr>
          <w:p w:rsidR="00507FFC" w:rsidRPr="007C273E" w:rsidRDefault="00507FFC" w:rsidP="00D82D86">
            <w:pPr>
              <w:spacing w:after="0" w:line="480" w:lineRule="auto"/>
              <w:rPr>
                <w:rFonts w:ascii="Times New Roman" w:hAnsi="Times New Roman"/>
                <w:color w:val="000000"/>
                <w:sz w:val="24"/>
                <w:szCs w:val="24"/>
              </w:rPr>
            </w:pPr>
            <w:r w:rsidRPr="007C273E">
              <w:rPr>
                <w:rFonts w:ascii="Times New Roman" w:hAnsi="Times New Roman"/>
                <w:color w:val="000000"/>
                <w:sz w:val="24"/>
                <w:szCs w:val="24"/>
              </w:rPr>
              <w:t>media 20-22</w:t>
            </w:r>
          </w:p>
        </w:tc>
        <w:tc>
          <w:tcPr>
            <w:tcW w:w="1440" w:type="dxa"/>
            <w:tcBorders>
              <w:top w:val="single" w:sz="4" w:space="0" w:color="auto"/>
              <w:left w:val="nil"/>
              <w:bottom w:val="single" w:sz="4" w:space="0" w:color="auto"/>
              <w:right w:val="single" w:sz="4" w:space="0" w:color="auto"/>
            </w:tcBorders>
            <w:noWrap/>
            <w:vAlign w:val="bottom"/>
          </w:tcPr>
          <w:p w:rsidR="00507FFC" w:rsidRPr="007C273E" w:rsidRDefault="00507FFC" w:rsidP="00022862">
            <w:pPr>
              <w:spacing w:after="0" w:line="480" w:lineRule="auto"/>
              <w:rPr>
                <w:rFonts w:ascii="Times New Roman" w:hAnsi="Times New Roman"/>
                <w:color w:val="000000"/>
                <w:sz w:val="24"/>
                <w:szCs w:val="24"/>
              </w:rPr>
            </w:pPr>
            <w:r w:rsidRPr="007C273E">
              <w:rPr>
                <w:rFonts w:ascii="Times New Roman" w:hAnsi="Times New Roman"/>
                <w:color w:val="000000"/>
                <w:sz w:val="24"/>
                <w:szCs w:val="24"/>
              </w:rPr>
              <w:t>anno 2024</w:t>
            </w:r>
          </w:p>
        </w:tc>
      </w:tr>
      <w:tr w:rsidR="00507FFC" w:rsidRPr="007C273E" w:rsidTr="00D82D86">
        <w:trPr>
          <w:trHeight w:val="600"/>
        </w:trPr>
        <w:tc>
          <w:tcPr>
            <w:tcW w:w="2535" w:type="dxa"/>
            <w:tcBorders>
              <w:top w:val="nil"/>
              <w:left w:val="single" w:sz="4" w:space="0" w:color="auto"/>
              <w:bottom w:val="single" w:sz="4" w:space="0" w:color="auto"/>
              <w:right w:val="single" w:sz="4" w:space="0" w:color="auto"/>
            </w:tcBorders>
            <w:vAlign w:val="bottom"/>
          </w:tcPr>
          <w:p w:rsidR="00507FFC" w:rsidRPr="007C273E" w:rsidRDefault="00507FFC" w:rsidP="00022862">
            <w:pPr>
              <w:spacing w:after="0" w:line="480" w:lineRule="auto"/>
              <w:rPr>
                <w:rFonts w:ascii="Times New Roman" w:hAnsi="Times New Roman"/>
                <w:color w:val="000000"/>
              </w:rPr>
            </w:pPr>
            <w:r w:rsidRPr="007C273E">
              <w:rPr>
                <w:rFonts w:ascii="Times New Roman" w:hAnsi="Times New Roman"/>
                <w:color w:val="000000"/>
              </w:rPr>
              <w:t>valore della produzione al netto di voci escluse</w:t>
            </w:r>
          </w:p>
        </w:tc>
        <w:tc>
          <w:tcPr>
            <w:tcW w:w="1440" w:type="dxa"/>
            <w:tcBorders>
              <w:top w:val="nil"/>
              <w:left w:val="nil"/>
              <w:bottom w:val="single" w:sz="4" w:space="0" w:color="auto"/>
              <w:right w:val="single" w:sz="4" w:space="0" w:color="auto"/>
            </w:tcBorders>
            <w:noWrap/>
            <w:vAlign w:val="bottom"/>
          </w:tcPr>
          <w:p w:rsidR="00507FFC" w:rsidRPr="007C273E" w:rsidRDefault="00507FFC" w:rsidP="00135684">
            <w:pPr>
              <w:spacing w:after="0" w:line="480" w:lineRule="auto"/>
              <w:jc w:val="right"/>
              <w:rPr>
                <w:rFonts w:ascii="Times New Roman" w:hAnsi="Times New Roman"/>
                <w:color w:val="000000"/>
              </w:rPr>
            </w:pPr>
            <w:r w:rsidRPr="007C273E">
              <w:rPr>
                <w:rFonts w:ascii="Times New Roman" w:hAnsi="Times New Roman"/>
                <w:color w:val="000000"/>
              </w:rPr>
              <w:t>30.915.985 €</w:t>
            </w:r>
          </w:p>
        </w:tc>
        <w:tc>
          <w:tcPr>
            <w:tcW w:w="1440" w:type="dxa"/>
            <w:tcBorders>
              <w:top w:val="nil"/>
              <w:left w:val="nil"/>
              <w:bottom w:val="single" w:sz="4" w:space="0" w:color="auto"/>
              <w:right w:val="single" w:sz="4" w:space="0" w:color="auto"/>
            </w:tcBorders>
            <w:noWrap/>
            <w:vAlign w:val="bottom"/>
          </w:tcPr>
          <w:p w:rsidR="00507FFC" w:rsidRPr="007C273E" w:rsidRDefault="00507FFC" w:rsidP="00135684">
            <w:pPr>
              <w:spacing w:after="0" w:line="480" w:lineRule="auto"/>
              <w:jc w:val="right"/>
              <w:rPr>
                <w:rFonts w:ascii="Times New Roman" w:hAnsi="Times New Roman"/>
                <w:color w:val="000000"/>
              </w:rPr>
            </w:pPr>
            <w:r w:rsidRPr="007C273E">
              <w:rPr>
                <w:rFonts w:ascii="Times New Roman" w:hAnsi="Times New Roman"/>
                <w:color w:val="000000"/>
              </w:rPr>
              <w:t>31.732.852 €</w:t>
            </w:r>
          </w:p>
        </w:tc>
        <w:tc>
          <w:tcPr>
            <w:tcW w:w="1620" w:type="dxa"/>
            <w:tcBorders>
              <w:top w:val="single" w:sz="4" w:space="0" w:color="auto"/>
              <w:left w:val="nil"/>
              <w:bottom w:val="single" w:sz="4" w:space="0" w:color="auto"/>
              <w:right w:val="single" w:sz="4" w:space="0" w:color="auto"/>
            </w:tcBorders>
            <w:vAlign w:val="bottom"/>
          </w:tcPr>
          <w:p w:rsidR="00507FFC" w:rsidRPr="007C273E" w:rsidRDefault="00507FFC" w:rsidP="00D82D86">
            <w:pPr>
              <w:spacing w:after="0" w:line="480" w:lineRule="auto"/>
              <w:jc w:val="right"/>
              <w:rPr>
                <w:rFonts w:ascii="Times New Roman" w:hAnsi="Times New Roman"/>
                <w:color w:val="000000"/>
              </w:rPr>
            </w:pPr>
            <w:r w:rsidRPr="007C273E">
              <w:rPr>
                <w:rFonts w:ascii="Times New Roman" w:hAnsi="Times New Roman"/>
                <w:color w:val="000000"/>
              </w:rPr>
              <w:t>31.542.947 €</w:t>
            </w:r>
          </w:p>
        </w:tc>
        <w:tc>
          <w:tcPr>
            <w:tcW w:w="1620" w:type="dxa"/>
            <w:tcBorders>
              <w:top w:val="single" w:sz="4" w:space="0" w:color="auto"/>
              <w:left w:val="single" w:sz="4" w:space="0" w:color="auto"/>
              <w:bottom w:val="single" w:sz="4" w:space="0" w:color="auto"/>
              <w:right w:val="single" w:sz="4" w:space="0" w:color="auto"/>
            </w:tcBorders>
            <w:noWrap/>
            <w:vAlign w:val="bottom"/>
          </w:tcPr>
          <w:p w:rsidR="00507FFC" w:rsidRPr="007C273E" w:rsidRDefault="00507FFC" w:rsidP="00D82D86">
            <w:pPr>
              <w:spacing w:after="0" w:line="480" w:lineRule="auto"/>
              <w:jc w:val="right"/>
              <w:rPr>
                <w:rFonts w:ascii="Times New Roman" w:hAnsi="Times New Roman"/>
                <w:color w:val="000000"/>
              </w:rPr>
            </w:pPr>
            <w:r w:rsidRPr="007C273E">
              <w:rPr>
                <w:rFonts w:ascii="Times New Roman" w:hAnsi="Times New Roman"/>
                <w:color w:val="000000"/>
              </w:rPr>
              <w:t>31.397.261 €</w:t>
            </w:r>
          </w:p>
        </w:tc>
        <w:tc>
          <w:tcPr>
            <w:tcW w:w="1440" w:type="dxa"/>
            <w:tcBorders>
              <w:top w:val="nil"/>
              <w:left w:val="nil"/>
              <w:bottom w:val="single" w:sz="4" w:space="0" w:color="auto"/>
              <w:right w:val="single" w:sz="4" w:space="0" w:color="auto"/>
            </w:tcBorders>
            <w:noWrap/>
            <w:vAlign w:val="bottom"/>
          </w:tcPr>
          <w:p w:rsidR="00507FFC" w:rsidRPr="007C273E" w:rsidRDefault="00507FFC" w:rsidP="00D82D86">
            <w:pPr>
              <w:spacing w:after="0" w:line="480" w:lineRule="auto"/>
              <w:jc w:val="right"/>
              <w:rPr>
                <w:rFonts w:ascii="Times New Roman" w:hAnsi="Times New Roman"/>
                <w:color w:val="000000"/>
              </w:rPr>
            </w:pPr>
            <w:r w:rsidRPr="007C273E">
              <w:rPr>
                <w:rFonts w:ascii="Times New Roman" w:hAnsi="Times New Roman"/>
                <w:color w:val="000000"/>
              </w:rPr>
              <w:t>34.649.623 €</w:t>
            </w:r>
          </w:p>
        </w:tc>
      </w:tr>
      <w:tr w:rsidR="00507FFC" w:rsidRPr="007C273E" w:rsidTr="00D82D86">
        <w:trPr>
          <w:trHeight w:val="600"/>
        </w:trPr>
        <w:tc>
          <w:tcPr>
            <w:tcW w:w="2535" w:type="dxa"/>
            <w:tcBorders>
              <w:top w:val="nil"/>
              <w:left w:val="single" w:sz="4" w:space="0" w:color="auto"/>
              <w:bottom w:val="single" w:sz="4" w:space="0" w:color="auto"/>
              <w:right w:val="single" w:sz="4" w:space="0" w:color="auto"/>
            </w:tcBorders>
            <w:vAlign w:val="bottom"/>
          </w:tcPr>
          <w:p w:rsidR="00507FFC" w:rsidRPr="007C273E" w:rsidRDefault="00507FFC" w:rsidP="00022862">
            <w:pPr>
              <w:spacing w:after="0" w:line="480" w:lineRule="auto"/>
              <w:rPr>
                <w:rFonts w:ascii="Times New Roman" w:hAnsi="Times New Roman"/>
                <w:color w:val="000000"/>
              </w:rPr>
            </w:pPr>
            <w:r w:rsidRPr="007C273E">
              <w:rPr>
                <w:rFonts w:ascii="Times New Roman" w:hAnsi="Times New Roman"/>
                <w:color w:val="000000"/>
              </w:rPr>
              <w:t>costo della produzione al netto di voci escluse</w:t>
            </w:r>
          </w:p>
        </w:tc>
        <w:tc>
          <w:tcPr>
            <w:tcW w:w="1440" w:type="dxa"/>
            <w:tcBorders>
              <w:top w:val="nil"/>
              <w:left w:val="nil"/>
              <w:bottom w:val="single" w:sz="4" w:space="0" w:color="auto"/>
              <w:right w:val="single" w:sz="4" w:space="0" w:color="auto"/>
            </w:tcBorders>
            <w:noWrap/>
            <w:vAlign w:val="bottom"/>
          </w:tcPr>
          <w:p w:rsidR="00507FFC" w:rsidRPr="007C273E" w:rsidRDefault="00507FFC" w:rsidP="00135684">
            <w:pPr>
              <w:spacing w:after="0" w:line="480" w:lineRule="auto"/>
              <w:jc w:val="right"/>
              <w:rPr>
                <w:rFonts w:ascii="Times New Roman" w:hAnsi="Times New Roman"/>
                <w:color w:val="000000"/>
              </w:rPr>
            </w:pPr>
            <w:r w:rsidRPr="007C273E">
              <w:rPr>
                <w:rFonts w:ascii="Times New Roman" w:hAnsi="Times New Roman"/>
                <w:color w:val="000000"/>
              </w:rPr>
              <w:t>27.888.932 €</w:t>
            </w:r>
          </w:p>
        </w:tc>
        <w:tc>
          <w:tcPr>
            <w:tcW w:w="1440" w:type="dxa"/>
            <w:tcBorders>
              <w:top w:val="nil"/>
              <w:left w:val="nil"/>
              <w:bottom w:val="single" w:sz="4" w:space="0" w:color="auto"/>
              <w:right w:val="single" w:sz="4" w:space="0" w:color="auto"/>
            </w:tcBorders>
            <w:noWrap/>
            <w:vAlign w:val="bottom"/>
          </w:tcPr>
          <w:p w:rsidR="00507FFC" w:rsidRPr="007C273E" w:rsidRDefault="00507FFC" w:rsidP="00135684">
            <w:pPr>
              <w:spacing w:after="0" w:line="480" w:lineRule="auto"/>
              <w:jc w:val="right"/>
              <w:rPr>
                <w:rFonts w:ascii="Times New Roman" w:hAnsi="Times New Roman"/>
                <w:color w:val="000000"/>
              </w:rPr>
            </w:pPr>
            <w:r w:rsidRPr="007C273E">
              <w:rPr>
                <w:rFonts w:ascii="Times New Roman" w:hAnsi="Times New Roman"/>
                <w:color w:val="000000"/>
              </w:rPr>
              <w:t>28.262.478 €</w:t>
            </w:r>
          </w:p>
        </w:tc>
        <w:tc>
          <w:tcPr>
            <w:tcW w:w="1620" w:type="dxa"/>
            <w:tcBorders>
              <w:top w:val="single" w:sz="4" w:space="0" w:color="auto"/>
              <w:left w:val="nil"/>
              <w:bottom w:val="single" w:sz="4" w:space="0" w:color="auto"/>
              <w:right w:val="single" w:sz="4" w:space="0" w:color="auto"/>
            </w:tcBorders>
            <w:vAlign w:val="bottom"/>
          </w:tcPr>
          <w:p w:rsidR="00507FFC" w:rsidRPr="007C273E" w:rsidRDefault="00507FFC" w:rsidP="00D82D86">
            <w:pPr>
              <w:spacing w:after="0" w:line="480" w:lineRule="auto"/>
              <w:jc w:val="right"/>
              <w:rPr>
                <w:rFonts w:ascii="Times New Roman" w:hAnsi="Times New Roman"/>
                <w:color w:val="000000"/>
              </w:rPr>
            </w:pPr>
            <w:r w:rsidRPr="007C273E">
              <w:rPr>
                <w:rFonts w:ascii="Times New Roman" w:hAnsi="Times New Roman"/>
                <w:color w:val="000000"/>
              </w:rPr>
              <w:t>28.403.871 €</w:t>
            </w:r>
          </w:p>
        </w:tc>
        <w:tc>
          <w:tcPr>
            <w:tcW w:w="1620" w:type="dxa"/>
            <w:tcBorders>
              <w:top w:val="single" w:sz="4" w:space="0" w:color="auto"/>
              <w:left w:val="single" w:sz="4" w:space="0" w:color="auto"/>
              <w:bottom w:val="single" w:sz="4" w:space="0" w:color="auto"/>
              <w:right w:val="single" w:sz="4" w:space="0" w:color="auto"/>
            </w:tcBorders>
            <w:noWrap/>
            <w:vAlign w:val="bottom"/>
          </w:tcPr>
          <w:p w:rsidR="00507FFC" w:rsidRPr="007C273E" w:rsidRDefault="00507FFC" w:rsidP="00D82D86">
            <w:pPr>
              <w:spacing w:after="0" w:line="480" w:lineRule="auto"/>
              <w:jc w:val="right"/>
              <w:rPr>
                <w:rFonts w:ascii="Times New Roman" w:hAnsi="Times New Roman"/>
                <w:color w:val="000000"/>
              </w:rPr>
            </w:pPr>
            <w:r w:rsidRPr="007C273E">
              <w:rPr>
                <w:rFonts w:ascii="Times New Roman" w:hAnsi="Times New Roman"/>
                <w:color w:val="000000"/>
              </w:rPr>
              <w:t>28.185.094 €</w:t>
            </w:r>
          </w:p>
        </w:tc>
        <w:tc>
          <w:tcPr>
            <w:tcW w:w="1440" w:type="dxa"/>
            <w:tcBorders>
              <w:top w:val="nil"/>
              <w:left w:val="nil"/>
              <w:bottom w:val="single" w:sz="4" w:space="0" w:color="auto"/>
              <w:right w:val="single" w:sz="4" w:space="0" w:color="auto"/>
            </w:tcBorders>
            <w:noWrap/>
            <w:vAlign w:val="bottom"/>
          </w:tcPr>
          <w:p w:rsidR="00507FFC" w:rsidRPr="007C273E" w:rsidRDefault="00507FFC" w:rsidP="00D82D86">
            <w:pPr>
              <w:spacing w:after="0" w:line="480" w:lineRule="auto"/>
              <w:jc w:val="right"/>
              <w:rPr>
                <w:rFonts w:ascii="Times New Roman" w:hAnsi="Times New Roman"/>
                <w:color w:val="000000"/>
              </w:rPr>
            </w:pPr>
            <w:r w:rsidRPr="007C273E">
              <w:rPr>
                <w:rFonts w:ascii="Times New Roman" w:hAnsi="Times New Roman"/>
                <w:color w:val="000000"/>
              </w:rPr>
              <w:t>30.386.919 €</w:t>
            </w:r>
          </w:p>
        </w:tc>
      </w:tr>
    </w:tbl>
    <w:p w:rsidR="00507FFC" w:rsidRPr="007C273E" w:rsidRDefault="00507FFC" w:rsidP="00022862">
      <w:pPr>
        <w:spacing w:after="0" w:line="480" w:lineRule="auto"/>
        <w:jc w:val="both"/>
        <w:rPr>
          <w:rFonts w:ascii="Times New Roman" w:hAnsi="Times New Roman"/>
          <w:sz w:val="24"/>
          <w:szCs w:val="24"/>
        </w:rPr>
      </w:pPr>
    </w:p>
    <w:p w:rsidR="00507FFC" w:rsidRPr="005B6F09" w:rsidRDefault="00507FFC" w:rsidP="00022862">
      <w:pPr>
        <w:spacing w:after="0" w:line="480" w:lineRule="auto"/>
        <w:jc w:val="both"/>
        <w:rPr>
          <w:rFonts w:ascii="Times New Roman" w:hAnsi="Times New Roman"/>
          <w:sz w:val="24"/>
          <w:szCs w:val="24"/>
        </w:rPr>
      </w:pPr>
      <w:r w:rsidRPr="007C273E">
        <w:rPr>
          <w:rFonts w:ascii="Times New Roman" w:hAnsi="Times New Roman"/>
          <w:sz w:val="24"/>
          <w:szCs w:val="24"/>
        </w:rPr>
        <w:t xml:space="preserve">Applicando la formula approvata dall’assemblea dei soci risulta che il rapporto tra costi della produzione 2024 e valore della produzione 2024 (nettizzati come sopra precisato) è pari a 87,70% risultando inferiore al rapporto medio del triennio 2020-2022 (88,86%) e quindi in conclusione l’obiettivo è stato raggiunto. Tali conteggi sono stati formulati dalla società e sottoposti alla verifica della società di revisione </w:t>
      </w:r>
      <w:r w:rsidRPr="0097024D">
        <w:rPr>
          <w:rFonts w:ascii="Times New Roman" w:hAnsi="Times New Roman"/>
          <w:sz w:val="24"/>
          <w:szCs w:val="24"/>
        </w:rPr>
        <w:t>incaricata per la revisione legale dei conti che ha attestato la regolarità delle operazioni di calcolo eseguite. La rendicontazione e la relazione della società di revisione sono state trasmesse al collegio sindacale di Asm Pavia spa, in attesa della convocazione dell’assemblea per deliberare sull’erogazione della parte variabile del compenso dell’organo amministrativo collegata al raggiungimento degli obiettivi assegnati.</w:t>
      </w:r>
      <w:r w:rsidRPr="005B6F09">
        <w:rPr>
          <w:rFonts w:ascii="Times New Roman" w:hAnsi="Times New Roman"/>
          <w:sz w:val="24"/>
          <w:szCs w:val="24"/>
        </w:rPr>
        <w:t xml:space="preserve"> </w:t>
      </w:r>
    </w:p>
    <w:p w:rsidR="00507FFC" w:rsidRPr="007C273E" w:rsidRDefault="00507FFC" w:rsidP="00B83BDE">
      <w:pPr>
        <w:spacing w:after="0" w:line="480" w:lineRule="auto"/>
        <w:jc w:val="both"/>
        <w:rPr>
          <w:rFonts w:ascii="Times New Roman" w:hAnsi="Times New Roman"/>
          <w:sz w:val="24"/>
          <w:szCs w:val="24"/>
        </w:rPr>
      </w:pPr>
      <w:r w:rsidRPr="007C273E">
        <w:rPr>
          <w:rFonts w:ascii="Times New Roman" w:hAnsi="Times New Roman"/>
          <w:sz w:val="24"/>
          <w:szCs w:val="24"/>
        </w:rPr>
        <w:t>La re</w:t>
      </w:r>
      <w:r w:rsidRPr="007C273E">
        <w:rPr>
          <w:rFonts w:ascii="Times New Roman" w:hAnsi="Times New Roman"/>
          <w:bCs/>
          <w:sz w:val="24"/>
          <w:szCs w:val="24"/>
        </w:rPr>
        <w:t>visione annuale delle partecipazioni societarie per l’anno 2024,</w:t>
      </w:r>
      <w:r w:rsidRPr="007C273E">
        <w:rPr>
          <w:rFonts w:ascii="Times New Roman" w:hAnsi="Times New Roman"/>
          <w:sz w:val="24"/>
          <w:szCs w:val="24"/>
        </w:rPr>
        <w:t xml:space="preserve"> approvata con l</w:t>
      </w:r>
      <w:r w:rsidRPr="007C273E">
        <w:rPr>
          <w:rFonts w:ascii="Times New Roman" w:hAnsi="Times New Roman"/>
          <w:bCs/>
          <w:sz w:val="24"/>
          <w:szCs w:val="24"/>
        </w:rPr>
        <w:t xml:space="preserve">a deliberazione </w:t>
      </w:r>
      <w:r w:rsidRPr="007C273E">
        <w:rPr>
          <w:rFonts w:ascii="Times New Roman" w:hAnsi="Times New Roman"/>
          <w:sz w:val="24"/>
          <w:szCs w:val="24"/>
        </w:rPr>
        <w:t>del Consiglio comunale 27/12/2024, n. 61</w:t>
      </w:r>
      <w:r w:rsidRPr="007C273E">
        <w:rPr>
          <w:rFonts w:ascii="Times New Roman" w:hAnsi="Times New Roman"/>
          <w:bCs/>
          <w:sz w:val="24"/>
          <w:szCs w:val="24"/>
        </w:rPr>
        <w:t xml:space="preserve">, </w:t>
      </w:r>
      <w:r w:rsidRPr="007C273E">
        <w:rPr>
          <w:rFonts w:ascii="Times New Roman" w:hAnsi="Times New Roman"/>
          <w:sz w:val="24"/>
          <w:szCs w:val="24"/>
        </w:rPr>
        <w:t>efficace ai sensi di legge, ha</w:t>
      </w:r>
      <w:r w:rsidRPr="007C273E">
        <w:t xml:space="preserve"> </w:t>
      </w:r>
      <w:r w:rsidRPr="007C273E">
        <w:rPr>
          <w:rFonts w:ascii="Times New Roman" w:hAnsi="Times New Roman"/>
          <w:sz w:val="24"/>
          <w:szCs w:val="24"/>
        </w:rPr>
        <w:t xml:space="preserve">confermato anche per il triennio 2025-2027 lo specifico obiettivo in termini di incidenza dei costi di funzionamento rispetto all’andamento del valore della produzione che tenga conto delle risultanze di bilancio di esercizio di </w:t>
      </w:r>
      <w:r w:rsidRPr="007C273E">
        <w:rPr>
          <w:rFonts w:ascii="Times New Roman" w:hAnsi="Times New Roman"/>
          <w:sz w:val="24"/>
          <w:szCs w:val="24"/>
        </w:rPr>
        <w:lastRenderedPageBreak/>
        <w:t>periodi precedenti (media triennio 2021-2023 per il 2025 a scorrere per ogni anno successivo), con esclusione delle componenti di costo e di ricavo la cui entità o incidenza assumono carattere eccezionale.</w:t>
      </w:r>
    </w:p>
    <w:p w:rsidR="00507FFC" w:rsidRPr="007C273E" w:rsidRDefault="00507FFC" w:rsidP="00B83BDE">
      <w:pPr>
        <w:spacing w:after="0" w:line="480" w:lineRule="auto"/>
        <w:jc w:val="both"/>
        <w:rPr>
          <w:rFonts w:ascii="Times New Roman" w:hAnsi="Times New Roman"/>
          <w:sz w:val="24"/>
          <w:szCs w:val="24"/>
        </w:rPr>
      </w:pPr>
      <w:r w:rsidRPr="007C273E">
        <w:rPr>
          <w:rFonts w:ascii="Times New Roman" w:hAnsi="Times New Roman"/>
          <w:sz w:val="24"/>
          <w:szCs w:val="24"/>
        </w:rPr>
        <w:t>Il Bilancio di esercizio 2024 formalmente approvato dall’Assemblea dei soci chiude con:</w:t>
      </w:r>
    </w:p>
    <w:p w:rsidR="00507FFC" w:rsidRPr="007C273E" w:rsidRDefault="00507FFC" w:rsidP="00415624">
      <w:pPr>
        <w:numPr>
          <w:ilvl w:val="0"/>
          <w:numId w:val="7"/>
        </w:numPr>
        <w:spacing w:after="0" w:line="480" w:lineRule="auto"/>
        <w:jc w:val="both"/>
        <w:rPr>
          <w:rFonts w:ascii="Times New Roman" w:hAnsi="Times New Roman"/>
          <w:sz w:val="24"/>
          <w:szCs w:val="24"/>
        </w:rPr>
      </w:pPr>
      <w:r w:rsidRPr="007C273E">
        <w:rPr>
          <w:rFonts w:ascii="Times New Roman" w:hAnsi="Times New Roman"/>
          <w:sz w:val="24"/>
          <w:szCs w:val="24"/>
        </w:rPr>
        <w:t>utile dell’esercizio € 2.172.049 (nel 2023 € 2.023.391)</w:t>
      </w:r>
    </w:p>
    <w:p w:rsidR="00507FFC" w:rsidRPr="007C273E" w:rsidRDefault="00507FFC" w:rsidP="00415624">
      <w:pPr>
        <w:numPr>
          <w:ilvl w:val="0"/>
          <w:numId w:val="7"/>
        </w:numPr>
        <w:spacing w:after="0" w:line="480" w:lineRule="auto"/>
        <w:jc w:val="both"/>
        <w:rPr>
          <w:rFonts w:ascii="Times New Roman" w:hAnsi="Times New Roman"/>
          <w:sz w:val="24"/>
          <w:szCs w:val="24"/>
        </w:rPr>
      </w:pPr>
      <w:r w:rsidRPr="007C273E">
        <w:rPr>
          <w:rFonts w:ascii="Times New Roman" w:hAnsi="Times New Roman"/>
          <w:sz w:val="24"/>
          <w:szCs w:val="24"/>
        </w:rPr>
        <w:t>patrimonio netto € 56.981.610 (nel 2023 € 56.428.047)</w:t>
      </w:r>
    </w:p>
    <w:p w:rsidR="00507FFC" w:rsidRPr="003F1E47" w:rsidRDefault="00507FFC" w:rsidP="006223D9">
      <w:pPr>
        <w:numPr>
          <w:ilvl w:val="0"/>
          <w:numId w:val="7"/>
        </w:numPr>
        <w:spacing w:after="0" w:line="480" w:lineRule="auto"/>
        <w:jc w:val="both"/>
        <w:rPr>
          <w:rFonts w:ascii="Times New Roman" w:hAnsi="Times New Roman"/>
          <w:sz w:val="24"/>
          <w:szCs w:val="24"/>
        </w:rPr>
      </w:pPr>
      <w:r w:rsidRPr="003F1E47">
        <w:rPr>
          <w:rFonts w:ascii="Times New Roman" w:hAnsi="Times New Roman"/>
          <w:sz w:val="24"/>
          <w:szCs w:val="24"/>
        </w:rPr>
        <w:t xml:space="preserve">disponibilità liquide € </w:t>
      </w:r>
      <w:r w:rsidR="003F1E47" w:rsidRPr="003F1E47">
        <w:rPr>
          <w:rFonts w:ascii="Times New Roman" w:hAnsi="Times New Roman"/>
          <w:sz w:val="24"/>
          <w:szCs w:val="24"/>
        </w:rPr>
        <w:t>12.976.619</w:t>
      </w:r>
      <w:r w:rsidRPr="003F1E47">
        <w:rPr>
          <w:rFonts w:ascii="Times New Roman" w:hAnsi="Times New Roman"/>
          <w:sz w:val="24"/>
          <w:szCs w:val="24"/>
        </w:rPr>
        <w:t xml:space="preserve"> (nel 2023 € </w:t>
      </w:r>
      <w:r w:rsidR="003F1E47" w:rsidRPr="003F1E47">
        <w:rPr>
          <w:rFonts w:ascii="Times New Roman" w:hAnsi="Times New Roman"/>
          <w:sz w:val="24"/>
          <w:szCs w:val="24"/>
        </w:rPr>
        <w:t>13</w:t>
      </w:r>
      <w:r w:rsidRPr="003F1E47">
        <w:rPr>
          <w:rFonts w:ascii="Times New Roman" w:hAnsi="Times New Roman"/>
          <w:sz w:val="24"/>
          <w:szCs w:val="24"/>
        </w:rPr>
        <w:t>.</w:t>
      </w:r>
      <w:r w:rsidR="003F1E47" w:rsidRPr="003F1E47">
        <w:rPr>
          <w:rFonts w:ascii="Times New Roman" w:hAnsi="Times New Roman"/>
          <w:sz w:val="24"/>
          <w:szCs w:val="24"/>
        </w:rPr>
        <w:t>946.064</w:t>
      </w:r>
      <w:r w:rsidRPr="003F1E47">
        <w:rPr>
          <w:rFonts w:ascii="Times New Roman" w:hAnsi="Times New Roman"/>
          <w:sz w:val="24"/>
          <w:szCs w:val="24"/>
        </w:rPr>
        <w:t>)</w:t>
      </w:r>
    </w:p>
    <w:p w:rsidR="00507FFC" w:rsidRPr="007C273E" w:rsidRDefault="00507FFC" w:rsidP="00634877">
      <w:pPr>
        <w:numPr>
          <w:ilvl w:val="0"/>
          <w:numId w:val="7"/>
        </w:numPr>
        <w:spacing w:after="0" w:line="480" w:lineRule="auto"/>
        <w:jc w:val="both"/>
        <w:rPr>
          <w:rFonts w:ascii="Times New Roman" w:hAnsi="Times New Roman"/>
          <w:sz w:val="24"/>
          <w:szCs w:val="24"/>
        </w:rPr>
      </w:pPr>
      <w:r w:rsidRPr="007C273E">
        <w:rPr>
          <w:rFonts w:ascii="Times New Roman" w:hAnsi="Times New Roman"/>
          <w:sz w:val="24"/>
          <w:szCs w:val="24"/>
        </w:rPr>
        <w:t>risultato positivo della gestione caratteristica pari ad € 821.517 (nel 2023 € 704.555).</w:t>
      </w:r>
    </w:p>
    <w:p w:rsidR="00507FFC" w:rsidRPr="007C273E" w:rsidRDefault="00507FFC" w:rsidP="00F1172E">
      <w:pPr>
        <w:spacing w:after="0" w:line="480" w:lineRule="auto"/>
        <w:jc w:val="both"/>
        <w:rPr>
          <w:rFonts w:ascii="Times New Roman" w:hAnsi="Times New Roman"/>
          <w:iCs/>
          <w:sz w:val="24"/>
          <w:szCs w:val="24"/>
        </w:rPr>
      </w:pPr>
      <w:r w:rsidRPr="007C273E">
        <w:rPr>
          <w:rFonts w:ascii="Times New Roman" w:hAnsi="Times New Roman"/>
          <w:sz w:val="24"/>
          <w:szCs w:val="24"/>
        </w:rPr>
        <w:t xml:space="preserve">Nella Relazione sulla gestione § 8, dopo aver offerto la sintesi e la rielaborazione del conto economico e dello stato patrimoniale, è presentata la Posizione Finanziaria Netta (PFN) che ammonta a € 12.619.217 al 31/12/2024 contro € 13.306.240 al 31/12/2023 a fronte di Fondi rischi ed oneri di circa 6,9 milioni di euro. </w:t>
      </w:r>
      <w:r w:rsidRPr="007C273E">
        <w:rPr>
          <w:rFonts w:ascii="Times New Roman" w:hAnsi="Times New Roman"/>
          <w:iCs/>
          <w:sz w:val="24"/>
          <w:szCs w:val="24"/>
        </w:rPr>
        <w:t>La Relazione sul Governo societario -  programma di valutazione del rischio di crisi aziendale relativa all’esercizio 2024 - contiene un’analisi della gestione operativa (valore della produzione meno costi della produzione), che evidenzia che la gestione operativa (A-B) degli ultimi tre anni risulta positiva.</w:t>
      </w:r>
    </w:p>
    <w:p w:rsidR="00507FFC" w:rsidRPr="007C273E" w:rsidRDefault="00507FFC" w:rsidP="00F1172E">
      <w:pPr>
        <w:spacing w:after="0" w:line="480" w:lineRule="auto"/>
        <w:jc w:val="both"/>
        <w:rPr>
          <w:rFonts w:ascii="Times New Roman" w:hAnsi="Times New Roman"/>
          <w:iCs/>
          <w:sz w:val="24"/>
          <w:szCs w:val="24"/>
        </w:rPr>
      </w:pPr>
    </w:p>
    <w:p w:rsidR="00507FFC" w:rsidRPr="007C273E" w:rsidRDefault="00CF39A8" w:rsidP="00F1172E">
      <w:pPr>
        <w:spacing w:after="0" w:line="480" w:lineRule="auto"/>
        <w:jc w:val="both"/>
        <w:rPr>
          <w:rFonts w:ascii="Times New Roman" w:hAnsi="Times New Roman"/>
          <w:iCs/>
          <w:sz w:val="24"/>
          <w:szCs w:val="24"/>
        </w:rPr>
      </w:pPr>
      <w:r>
        <w:rPr>
          <w:rFonts w:ascii="Times New Roman" w:hAnsi="Times New Roman"/>
          <w:iCs/>
          <w:noProof/>
          <w:sz w:val="24"/>
          <w:szCs w:val="24"/>
          <w:lang w:eastAsia="it-IT"/>
        </w:rPr>
        <w:drawing>
          <wp:inline distT="0" distB="0" distL="0" distR="0">
            <wp:extent cx="4324350" cy="1400175"/>
            <wp:effectExtent l="0" t="0" r="0" b="952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15036" t="28802" r="19780" b="31467"/>
                    <a:stretch>
                      <a:fillRect/>
                    </a:stretch>
                  </pic:blipFill>
                  <pic:spPr bwMode="auto">
                    <a:xfrm>
                      <a:off x="0" y="0"/>
                      <a:ext cx="4324350" cy="1400175"/>
                    </a:xfrm>
                    <a:prstGeom prst="rect">
                      <a:avLst/>
                    </a:prstGeom>
                    <a:noFill/>
                    <a:ln>
                      <a:noFill/>
                    </a:ln>
                  </pic:spPr>
                </pic:pic>
              </a:graphicData>
            </a:graphic>
          </wp:inline>
        </w:drawing>
      </w:r>
    </w:p>
    <w:p w:rsidR="00507FFC" w:rsidRPr="007C273E" w:rsidRDefault="00507FFC" w:rsidP="00F1172E">
      <w:pPr>
        <w:spacing w:after="0" w:line="480" w:lineRule="auto"/>
        <w:jc w:val="both"/>
        <w:rPr>
          <w:rFonts w:ascii="Times New Roman" w:hAnsi="Times New Roman"/>
          <w:iCs/>
          <w:sz w:val="24"/>
          <w:szCs w:val="24"/>
        </w:rPr>
      </w:pPr>
    </w:p>
    <w:p w:rsidR="00507FFC" w:rsidRPr="007C273E" w:rsidRDefault="00CF39A8" w:rsidP="00F1172E">
      <w:pPr>
        <w:spacing w:after="0" w:line="480" w:lineRule="auto"/>
        <w:jc w:val="both"/>
        <w:rPr>
          <w:rFonts w:ascii="Times New Roman" w:hAnsi="Times New Roman"/>
          <w:iCs/>
          <w:sz w:val="24"/>
          <w:szCs w:val="24"/>
        </w:rPr>
      </w:pPr>
      <w:r>
        <w:rPr>
          <w:rFonts w:ascii="Times New Roman" w:hAnsi="Times New Roman"/>
          <w:iCs/>
          <w:noProof/>
          <w:sz w:val="24"/>
          <w:szCs w:val="24"/>
          <w:lang w:eastAsia="it-IT"/>
        </w:rPr>
        <w:lastRenderedPageBreak/>
        <w:drawing>
          <wp:inline distT="0" distB="0" distL="0" distR="0">
            <wp:extent cx="4029075" cy="3676650"/>
            <wp:effectExtent l="0" t="0" r="9525"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l="26208" t="16788" r="28873" b="13385"/>
                    <a:stretch>
                      <a:fillRect/>
                    </a:stretch>
                  </pic:blipFill>
                  <pic:spPr bwMode="auto">
                    <a:xfrm>
                      <a:off x="0" y="0"/>
                      <a:ext cx="4029075" cy="3676650"/>
                    </a:xfrm>
                    <a:prstGeom prst="rect">
                      <a:avLst/>
                    </a:prstGeom>
                    <a:noFill/>
                    <a:ln>
                      <a:noFill/>
                    </a:ln>
                  </pic:spPr>
                </pic:pic>
              </a:graphicData>
            </a:graphic>
          </wp:inline>
        </w:drawing>
      </w:r>
    </w:p>
    <w:p w:rsidR="00507FFC" w:rsidRPr="007C273E" w:rsidRDefault="00507FFC" w:rsidP="006F748A">
      <w:pPr>
        <w:autoSpaceDE w:val="0"/>
        <w:autoSpaceDN w:val="0"/>
        <w:adjustRightInd w:val="0"/>
        <w:spacing w:after="0" w:line="480" w:lineRule="auto"/>
        <w:jc w:val="both"/>
        <w:rPr>
          <w:rFonts w:ascii="Times New Roman" w:hAnsi="Times New Roman"/>
          <w:b/>
          <w:sz w:val="24"/>
          <w:szCs w:val="24"/>
          <w:lang w:eastAsia="it-IT"/>
        </w:rPr>
      </w:pPr>
    </w:p>
    <w:p w:rsidR="00507FFC" w:rsidRPr="000E21B1" w:rsidRDefault="00507FFC" w:rsidP="006F010C">
      <w:pPr>
        <w:autoSpaceDE w:val="0"/>
        <w:autoSpaceDN w:val="0"/>
        <w:adjustRightInd w:val="0"/>
        <w:spacing w:after="0" w:line="480" w:lineRule="auto"/>
        <w:jc w:val="both"/>
        <w:rPr>
          <w:rFonts w:ascii="Times New Roman" w:hAnsi="Times New Roman"/>
          <w:b/>
          <w:sz w:val="24"/>
          <w:szCs w:val="24"/>
        </w:rPr>
      </w:pPr>
      <w:r w:rsidRPr="007C273E">
        <w:rPr>
          <w:rFonts w:ascii="Times New Roman" w:hAnsi="Times New Roman"/>
          <w:b/>
          <w:sz w:val="24"/>
          <w:szCs w:val="24"/>
          <w:lang w:eastAsia="it-IT"/>
        </w:rPr>
        <w:t xml:space="preserve">1.4.2 </w:t>
      </w:r>
      <w:r w:rsidRPr="000E21B1">
        <w:rPr>
          <w:rFonts w:ascii="Times New Roman" w:hAnsi="Times New Roman"/>
          <w:b/>
          <w:sz w:val="24"/>
          <w:szCs w:val="24"/>
          <w:lang w:eastAsia="it-IT"/>
        </w:rPr>
        <w:t xml:space="preserve">- </w:t>
      </w:r>
      <w:r w:rsidRPr="000E21B1">
        <w:rPr>
          <w:rFonts w:ascii="Times New Roman" w:hAnsi="Times New Roman"/>
          <w:b/>
          <w:i/>
          <w:sz w:val="24"/>
          <w:szCs w:val="24"/>
          <w:lang w:eastAsia="it-IT"/>
        </w:rPr>
        <w:t>Technostone s.r.l.</w:t>
      </w:r>
      <w:r w:rsidRPr="000E21B1">
        <w:rPr>
          <w:rFonts w:ascii="Times New Roman" w:hAnsi="Times New Roman"/>
          <w:b/>
          <w:i/>
          <w:sz w:val="24"/>
          <w:szCs w:val="24"/>
        </w:rPr>
        <w:t xml:space="preserve"> Cessata</w:t>
      </w:r>
    </w:p>
    <w:p w:rsidR="00507FFC" w:rsidRPr="00CC5F2A" w:rsidRDefault="00507FFC" w:rsidP="00CC5F2A">
      <w:pPr>
        <w:pStyle w:val="NormaleWeb"/>
        <w:spacing w:before="0" w:beforeAutospacing="0" w:after="0" w:line="480" w:lineRule="auto"/>
        <w:jc w:val="both"/>
      </w:pPr>
      <w:r w:rsidRPr="007C273E">
        <w:t xml:space="preserve">In attuazione degli indirizzi definiti nel piano di razionalizzazione approvato </w:t>
      </w:r>
      <w:r w:rsidRPr="007C273E">
        <w:rPr>
          <w:bCs/>
        </w:rPr>
        <w:t xml:space="preserve">con deliberazione </w:t>
      </w:r>
      <w:r w:rsidRPr="007C273E">
        <w:t>del Consiglio comunale 27/12/2024, n. 61</w:t>
      </w:r>
      <w:r w:rsidRPr="007C273E">
        <w:rPr>
          <w:bCs/>
        </w:rPr>
        <w:t xml:space="preserve">, </w:t>
      </w:r>
      <w:r w:rsidRPr="007C273E">
        <w:t>efficace ai sensi di legge, si è dato corso alla fusione per incorporazione di Technostone S.r.l. in liquidazione nella controllante ASM Pavia spa con atto Notaio Paini del 29/09/2025 n. 8477/5786 di Repertorio, con effetti fiscali decorrenti dal 01/01/2025 e con effetti civilistici decorrenti dal 08/10/2025.</w:t>
      </w:r>
      <w:r>
        <w:t xml:space="preserve"> </w:t>
      </w:r>
    </w:p>
    <w:p w:rsidR="00507FFC" w:rsidRPr="000E21B1" w:rsidRDefault="00507FFC" w:rsidP="006F010C">
      <w:pPr>
        <w:autoSpaceDE w:val="0"/>
        <w:autoSpaceDN w:val="0"/>
        <w:adjustRightInd w:val="0"/>
        <w:spacing w:after="0" w:line="480" w:lineRule="auto"/>
        <w:jc w:val="both"/>
        <w:rPr>
          <w:rFonts w:ascii="Times New Roman" w:hAnsi="Times New Roman"/>
          <w:sz w:val="24"/>
          <w:szCs w:val="24"/>
          <w:lang w:eastAsia="it-IT"/>
        </w:rPr>
      </w:pPr>
      <w:r>
        <w:rPr>
          <w:rFonts w:ascii="Times New Roman" w:hAnsi="Times New Roman"/>
          <w:b/>
          <w:bCs/>
          <w:sz w:val="24"/>
          <w:szCs w:val="24"/>
        </w:rPr>
        <w:t>1.4.3</w:t>
      </w:r>
      <w:r w:rsidRPr="00AF00C2">
        <w:rPr>
          <w:rFonts w:ascii="Times New Roman" w:hAnsi="Times New Roman"/>
          <w:b/>
          <w:bCs/>
          <w:sz w:val="24"/>
          <w:szCs w:val="24"/>
        </w:rPr>
        <w:t xml:space="preserve"> - </w:t>
      </w:r>
      <w:r w:rsidRPr="000E21B1">
        <w:rPr>
          <w:rFonts w:ascii="Times New Roman" w:hAnsi="Times New Roman"/>
          <w:b/>
          <w:bCs/>
          <w:i/>
          <w:sz w:val="24"/>
          <w:szCs w:val="24"/>
        </w:rPr>
        <w:t>A2E Servizi srl- Cessata</w:t>
      </w:r>
    </w:p>
    <w:p w:rsidR="00507FFC" w:rsidRPr="00CC5F2A" w:rsidRDefault="00507FFC" w:rsidP="00BD678E">
      <w:pPr>
        <w:pStyle w:val="NormaleWeb"/>
        <w:spacing w:before="0" w:beforeAutospacing="0" w:after="0" w:line="480" w:lineRule="auto"/>
        <w:jc w:val="both"/>
      </w:pPr>
      <w:r w:rsidRPr="007C273E">
        <w:t xml:space="preserve">In attuazione degli indirizzi definiti nel piano di razionalizzazione approvato </w:t>
      </w:r>
      <w:r w:rsidRPr="007C273E">
        <w:rPr>
          <w:bCs/>
        </w:rPr>
        <w:t xml:space="preserve">con deliberazione </w:t>
      </w:r>
      <w:r w:rsidRPr="007C273E">
        <w:t>del Consiglio comunale 27/12/2024, n. 61</w:t>
      </w:r>
      <w:r w:rsidRPr="007C273E">
        <w:rPr>
          <w:bCs/>
        </w:rPr>
        <w:t xml:space="preserve">, </w:t>
      </w:r>
      <w:r w:rsidRPr="007C273E">
        <w:t>efficace ai sensi di legge, si è conclusa la liquidazione d A2E servizi srl in liquidazione con l’approvazione del bilancio finale di liquidazione al 27/12/2024 che presenta un patrimonio netto finale di liquidazione pari a 214,91 euro; la società risulta essere stata cancellata dal registro imprese con efficacia dal 07/04/2025.</w:t>
      </w:r>
    </w:p>
    <w:p w:rsidR="00507FFC" w:rsidRPr="00AF00C2" w:rsidRDefault="00507FFC" w:rsidP="00E66939">
      <w:pPr>
        <w:autoSpaceDE w:val="0"/>
        <w:autoSpaceDN w:val="0"/>
        <w:adjustRightInd w:val="0"/>
        <w:spacing w:after="0" w:line="480" w:lineRule="auto"/>
        <w:jc w:val="both"/>
        <w:rPr>
          <w:rFonts w:ascii="Times New Roman" w:hAnsi="Times New Roman"/>
          <w:b/>
          <w:i/>
          <w:sz w:val="24"/>
          <w:szCs w:val="24"/>
          <w:lang w:eastAsia="it-IT"/>
        </w:rPr>
      </w:pPr>
      <w:r>
        <w:rPr>
          <w:rFonts w:ascii="Times New Roman" w:hAnsi="Times New Roman"/>
          <w:b/>
          <w:sz w:val="24"/>
          <w:szCs w:val="24"/>
          <w:lang w:eastAsia="it-IT"/>
        </w:rPr>
        <w:t>1.4.4</w:t>
      </w:r>
      <w:r w:rsidRPr="00AF00C2">
        <w:rPr>
          <w:rFonts w:ascii="Times New Roman" w:hAnsi="Times New Roman"/>
          <w:b/>
          <w:sz w:val="24"/>
          <w:szCs w:val="24"/>
          <w:lang w:eastAsia="it-IT"/>
        </w:rPr>
        <w:t xml:space="preserve"> - </w:t>
      </w:r>
      <w:r w:rsidRPr="00AF00C2">
        <w:rPr>
          <w:rFonts w:ascii="Times New Roman" w:hAnsi="Times New Roman"/>
          <w:b/>
          <w:i/>
          <w:sz w:val="24"/>
          <w:szCs w:val="24"/>
          <w:lang w:eastAsia="it-IT"/>
        </w:rPr>
        <w:t>Pavia Acque S.C.A.R.L.</w:t>
      </w:r>
    </w:p>
    <w:p w:rsidR="00507FFC" w:rsidRPr="007C273E" w:rsidRDefault="00507FFC" w:rsidP="00E66939">
      <w:pPr>
        <w:pStyle w:val="Testodelblocco1"/>
        <w:tabs>
          <w:tab w:val="left" w:pos="0"/>
          <w:tab w:val="left" w:pos="8080"/>
        </w:tabs>
        <w:spacing w:line="480" w:lineRule="auto"/>
        <w:ind w:left="0" w:right="0" w:firstLine="0"/>
        <w:rPr>
          <w:rFonts w:ascii="Times New Roman" w:hAnsi="Times New Roman"/>
          <w:sz w:val="24"/>
          <w:szCs w:val="24"/>
          <w:lang w:eastAsia="it-IT"/>
        </w:rPr>
      </w:pPr>
      <w:r w:rsidRPr="007C273E">
        <w:rPr>
          <w:rFonts w:ascii="Times New Roman" w:hAnsi="Times New Roman"/>
          <w:sz w:val="24"/>
          <w:szCs w:val="24"/>
          <w:lang w:eastAsia="it-IT"/>
        </w:rPr>
        <w:t xml:space="preserve">La società ha per esclusivo oggetto, nell’interesse delle comunità locali di riferimento e degli enti giuridici che la partecipano, la gestione coordinata ed unitaria in </w:t>
      </w:r>
      <w:r w:rsidRPr="007B5491">
        <w:rPr>
          <w:rFonts w:ascii="Times New Roman" w:hAnsi="Times New Roman"/>
          <w:i/>
          <w:sz w:val="24"/>
          <w:szCs w:val="24"/>
          <w:lang w:eastAsia="it-IT"/>
        </w:rPr>
        <w:t>house providing</w:t>
      </w:r>
      <w:r w:rsidRPr="007C273E">
        <w:rPr>
          <w:rFonts w:ascii="Times New Roman" w:hAnsi="Times New Roman"/>
          <w:sz w:val="24"/>
          <w:szCs w:val="24"/>
          <w:lang w:eastAsia="it-IT"/>
        </w:rPr>
        <w:t xml:space="preserve"> del servizio idrico </w:t>
      </w:r>
      <w:r w:rsidRPr="007C273E">
        <w:rPr>
          <w:rFonts w:ascii="Times New Roman" w:hAnsi="Times New Roman"/>
          <w:sz w:val="24"/>
          <w:szCs w:val="24"/>
          <w:lang w:eastAsia="it-IT"/>
        </w:rPr>
        <w:lastRenderedPageBreak/>
        <w:t>integrato nell’ambito ottimale della provincia di Pavia (per il periodo 2014-2033), in ottemperanza a quanto prescritto dal Decreto legislativo 03/04/2006, n. 152 e dalla legge regionale 12/12/2003, n. 26. Come tale la partecipazione alla società è ritenuta indispensabile per il perseguimento delle finalità istituzionali, tenuto conto che A.S.M Pavia s.p.a. è tra i soci fondatori e fornisce i servizi di gestione. Il bilancio al 31/12/2024 evidenzia un utile di Euro 5.139.606.</w:t>
      </w:r>
    </w:p>
    <w:p w:rsidR="00507FFC" w:rsidRPr="0015434C" w:rsidRDefault="00507FFC" w:rsidP="0015434C">
      <w:pPr>
        <w:autoSpaceDE w:val="0"/>
        <w:autoSpaceDN w:val="0"/>
        <w:adjustRightInd w:val="0"/>
        <w:spacing w:after="0" w:line="480" w:lineRule="auto"/>
        <w:jc w:val="both"/>
        <w:rPr>
          <w:rFonts w:ascii="Times New Roman" w:hAnsi="Times New Roman"/>
          <w:b/>
          <w:sz w:val="24"/>
          <w:szCs w:val="24"/>
          <w:lang w:eastAsia="it-IT"/>
        </w:rPr>
      </w:pPr>
      <w:r>
        <w:rPr>
          <w:rFonts w:ascii="Times New Roman" w:hAnsi="Times New Roman"/>
          <w:b/>
          <w:sz w:val="24"/>
          <w:szCs w:val="24"/>
          <w:lang w:eastAsia="it-IT"/>
        </w:rPr>
        <w:t>1</w:t>
      </w:r>
      <w:r w:rsidRPr="0015434C">
        <w:rPr>
          <w:rFonts w:ascii="Times New Roman" w:hAnsi="Times New Roman"/>
          <w:b/>
          <w:sz w:val="24"/>
          <w:szCs w:val="24"/>
          <w:lang w:eastAsia="it-IT"/>
        </w:rPr>
        <w:t>.4.</w:t>
      </w:r>
      <w:r>
        <w:rPr>
          <w:rFonts w:ascii="Times New Roman" w:hAnsi="Times New Roman"/>
          <w:b/>
          <w:sz w:val="24"/>
          <w:szCs w:val="24"/>
          <w:lang w:eastAsia="it-IT"/>
        </w:rPr>
        <w:t>5 -</w:t>
      </w:r>
      <w:r w:rsidRPr="0015434C">
        <w:rPr>
          <w:rFonts w:ascii="Times New Roman" w:hAnsi="Times New Roman"/>
          <w:b/>
          <w:sz w:val="24"/>
          <w:szCs w:val="24"/>
          <w:lang w:eastAsia="it-IT"/>
        </w:rPr>
        <w:t xml:space="preserve"> </w:t>
      </w:r>
      <w:r w:rsidRPr="0015434C">
        <w:rPr>
          <w:rFonts w:ascii="Times New Roman" w:hAnsi="Times New Roman"/>
          <w:b/>
          <w:i/>
          <w:sz w:val="24"/>
          <w:szCs w:val="24"/>
          <w:lang w:eastAsia="it-IT"/>
        </w:rPr>
        <w:t>A2A S</w:t>
      </w:r>
      <w:r>
        <w:rPr>
          <w:rFonts w:ascii="Times New Roman" w:hAnsi="Times New Roman"/>
          <w:b/>
          <w:i/>
          <w:sz w:val="24"/>
          <w:szCs w:val="24"/>
          <w:lang w:eastAsia="it-IT"/>
        </w:rPr>
        <w:t>.p.</w:t>
      </w:r>
      <w:r w:rsidRPr="0015434C">
        <w:rPr>
          <w:rFonts w:ascii="Times New Roman" w:hAnsi="Times New Roman"/>
          <w:b/>
          <w:i/>
          <w:sz w:val="24"/>
          <w:szCs w:val="24"/>
          <w:lang w:eastAsia="it-IT"/>
        </w:rPr>
        <w:t>A</w:t>
      </w:r>
      <w:r>
        <w:rPr>
          <w:rFonts w:ascii="Times New Roman" w:hAnsi="Times New Roman"/>
          <w:b/>
          <w:i/>
          <w:sz w:val="24"/>
          <w:szCs w:val="24"/>
          <w:lang w:eastAsia="it-IT"/>
        </w:rPr>
        <w:t>.</w:t>
      </w:r>
    </w:p>
    <w:p w:rsidR="00507FFC" w:rsidRPr="00C316BC" w:rsidRDefault="00507FFC" w:rsidP="0015434C">
      <w:pPr>
        <w:autoSpaceDE w:val="0"/>
        <w:autoSpaceDN w:val="0"/>
        <w:adjustRightInd w:val="0"/>
        <w:spacing w:after="0" w:line="480" w:lineRule="auto"/>
        <w:jc w:val="both"/>
        <w:rPr>
          <w:rFonts w:ascii="Times New Roman" w:hAnsi="Times New Roman"/>
          <w:sz w:val="24"/>
          <w:szCs w:val="24"/>
          <w:shd w:val="clear" w:color="auto" w:fill="FFFFFF"/>
          <w:lang w:eastAsia="it-IT"/>
        </w:rPr>
      </w:pPr>
      <w:r w:rsidRPr="00C316BC">
        <w:rPr>
          <w:rFonts w:ascii="Times New Roman" w:hAnsi="Times New Roman"/>
          <w:sz w:val="24"/>
          <w:szCs w:val="24"/>
          <w:shd w:val="clear" w:color="auto" w:fill="FFFFFF"/>
          <w:lang w:eastAsia="it-IT"/>
        </w:rPr>
        <w:t xml:space="preserve">Asm Pavia spa costituisce il veicolo societario attraverso il quale il comune di Pavia e  i Comuni del </w:t>
      </w:r>
      <w:r>
        <w:rPr>
          <w:rFonts w:ascii="Times New Roman" w:hAnsi="Times New Roman"/>
          <w:sz w:val="24"/>
          <w:szCs w:val="24"/>
          <w:shd w:val="clear" w:color="auto" w:fill="FFFFFF"/>
          <w:lang w:eastAsia="it-IT"/>
        </w:rPr>
        <w:t>p</w:t>
      </w:r>
      <w:r w:rsidRPr="00C316BC">
        <w:rPr>
          <w:rFonts w:ascii="Times New Roman" w:hAnsi="Times New Roman"/>
          <w:sz w:val="24"/>
          <w:szCs w:val="24"/>
          <w:shd w:val="clear" w:color="auto" w:fill="FFFFFF"/>
          <w:lang w:eastAsia="it-IT"/>
        </w:rPr>
        <w:t xml:space="preserve">avese soci partecipano, </w:t>
      </w:r>
      <w:r w:rsidRPr="00C04D8A">
        <w:rPr>
          <w:rFonts w:ascii="Times New Roman" w:hAnsi="Times New Roman"/>
          <w:sz w:val="24"/>
          <w:szCs w:val="24"/>
          <w:shd w:val="clear" w:color="auto" w:fill="FFFFFF"/>
          <w:lang w:eastAsia="it-IT"/>
        </w:rPr>
        <w:t>nella misura del 0,643%, al capitale</w:t>
      </w:r>
      <w:r w:rsidRPr="00C316BC">
        <w:rPr>
          <w:rFonts w:ascii="Times New Roman" w:hAnsi="Times New Roman"/>
          <w:sz w:val="24"/>
          <w:szCs w:val="24"/>
          <w:shd w:val="clear" w:color="auto" w:fill="FFFFFF"/>
          <w:lang w:eastAsia="it-IT"/>
        </w:rPr>
        <w:t xml:space="preserve"> di A2A S.p.A., nella cui compagine sociale Asm Pavia spa ha fatto ingresso in due fasi:</w:t>
      </w:r>
    </w:p>
    <w:p w:rsidR="00507FFC" w:rsidRPr="0067037D" w:rsidRDefault="00507FFC" w:rsidP="0015434C">
      <w:pPr>
        <w:autoSpaceDE w:val="0"/>
        <w:autoSpaceDN w:val="0"/>
        <w:adjustRightInd w:val="0"/>
        <w:spacing w:after="0" w:line="480" w:lineRule="auto"/>
        <w:jc w:val="both"/>
        <w:rPr>
          <w:rFonts w:ascii="Times New Roman" w:hAnsi="Times New Roman"/>
          <w:sz w:val="24"/>
          <w:szCs w:val="24"/>
          <w:shd w:val="clear" w:color="auto" w:fill="FFFFFF"/>
          <w:lang w:eastAsia="it-IT"/>
        </w:rPr>
      </w:pPr>
      <w:r w:rsidRPr="00C316BC">
        <w:rPr>
          <w:rFonts w:ascii="Times New Roman" w:hAnsi="Times New Roman"/>
          <w:sz w:val="24"/>
          <w:szCs w:val="24"/>
          <w:shd w:val="clear" w:color="auto" w:fill="FFFFFF"/>
          <w:lang w:eastAsia="it-IT"/>
        </w:rPr>
        <w:t xml:space="preserve">-  il 04/08/2016 </w:t>
      </w:r>
      <w:r w:rsidRPr="0067037D">
        <w:rPr>
          <w:rFonts w:ascii="Times New Roman" w:hAnsi="Times New Roman"/>
          <w:sz w:val="24"/>
          <w:szCs w:val="24"/>
          <w:shd w:val="clear" w:color="auto" w:fill="FFFFFF"/>
          <w:lang w:eastAsia="it-IT"/>
        </w:rPr>
        <w:t xml:space="preserve">Asm Pavia spa </w:t>
      </w:r>
      <w:r>
        <w:rPr>
          <w:rFonts w:ascii="Times New Roman" w:hAnsi="Times New Roman"/>
          <w:sz w:val="24"/>
          <w:szCs w:val="24"/>
          <w:shd w:val="clear" w:color="auto" w:fill="FFFFFF"/>
          <w:lang w:eastAsia="it-IT"/>
        </w:rPr>
        <w:t>ha acquisito azioni di</w:t>
      </w:r>
      <w:r w:rsidRPr="00726B6B">
        <w:rPr>
          <w:rFonts w:ascii="Times New Roman" w:hAnsi="Times New Roman"/>
          <w:sz w:val="24"/>
          <w:szCs w:val="24"/>
          <w:shd w:val="clear" w:color="auto" w:fill="FFFFFF"/>
          <w:lang w:eastAsia="it-IT"/>
        </w:rPr>
        <w:t xml:space="preserve"> </w:t>
      </w:r>
      <w:r w:rsidRPr="0067037D">
        <w:rPr>
          <w:rFonts w:ascii="Times New Roman" w:hAnsi="Times New Roman"/>
          <w:sz w:val="24"/>
          <w:szCs w:val="24"/>
          <w:shd w:val="clear" w:color="auto" w:fill="FFFFFF"/>
          <w:lang w:eastAsia="it-IT"/>
        </w:rPr>
        <w:t xml:space="preserve">A2A </w:t>
      </w:r>
      <w:r w:rsidRPr="00C316BC">
        <w:rPr>
          <w:rFonts w:ascii="Times New Roman" w:hAnsi="Times New Roman"/>
          <w:sz w:val="24"/>
          <w:szCs w:val="24"/>
          <w:shd w:val="clear" w:color="auto" w:fill="FFFFFF"/>
          <w:lang w:eastAsia="it-IT"/>
        </w:rPr>
        <w:t>S.p.A</w:t>
      </w:r>
      <w:r w:rsidRPr="0067037D">
        <w:rPr>
          <w:rFonts w:ascii="Times New Roman" w:hAnsi="Times New Roman"/>
          <w:sz w:val="24"/>
          <w:szCs w:val="24"/>
          <w:shd w:val="clear" w:color="auto" w:fill="FFFFFF"/>
          <w:lang w:eastAsia="it-IT"/>
        </w:rPr>
        <w:t xml:space="preserve"> pari allo 0,203% del capitale sociale</w:t>
      </w:r>
      <w:r>
        <w:rPr>
          <w:rFonts w:ascii="Times New Roman" w:hAnsi="Times New Roman"/>
          <w:sz w:val="24"/>
          <w:szCs w:val="24"/>
        </w:rPr>
        <w:t xml:space="preserve"> a seguito della cessione di una quota di partecipazione detenuta in </w:t>
      </w:r>
      <w:r w:rsidRPr="00FE70A2">
        <w:rPr>
          <w:rFonts w:ascii="Times New Roman" w:hAnsi="Times New Roman"/>
          <w:sz w:val="24"/>
          <w:szCs w:val="24"/>
        </w:rPr>
        <w:t>Linea Group holding S.p.a.</w:t>
      </w:r>
      <w:r>
        <w:rPr>
          <w:rFonts w:ascii="Times New Roman" w:hAnsi="Times New Roman"/>
          <w:sz w:val="24"/>
          <w:szCs w:val="24"/>
        </w:rPr>
        <w:t>;</w:t>
      </w:r>
    </w:p>
    <w:p w:rsidR="00507FFC" w:rsidRPr="00FE70A2" w:rsidRDefault="00507FFC" w:rsidP="0015434C">
      <w:pPr>
        <w:pStyle w:val="Default"/>
        <w:spacing w:line="480" w:lineRule="auto"/>
        <w:jc w:val="both"/>
        <w:rPr>
          <w:rFonts w:ascii="Times New Roman" w:hAnsi="Times New Roman"/>
        </w:rPr>
      </w:pPr>
      <w:r>
        <w:rPr>
          <w:rFonts w:ascii="Times New Roman" w:hAnsi="Times New Roman" w:cs="Times New Roman"/>
          <w:color w:val="auto"/>
        </w:rPr>
        <w:t>- i</w:t>
      </w:r>
      <w:r w:rsidRPr="00FE70A2">
        <w:rPr>
          <w:rFonts w:ascii="Times New Roman" w:hAnsi="Times New Roman" w:cs="Times New Roman"/>
          <w:color w:val="auto"/>
        </w:rPr>
        <w:t>l 15/12/2021</w:t>
      </w:r>
      <w:r>
        <w:rPr>
          <w:rFonts w:ascii="Times New Roman" w:hAnsi="Times New Roman" w:cs="Times New Roman"/>
          <w:color w:val="auto"/>
        </w:rPr>
        <w:t>,</w:t>
      </w:r>
      <w:r w:rsidRPr="00FE70A2">
        <w:rPr>
          <w:rFonts w:ascii="Times New Roman" w:hAnsi="Times New Roman" w:cs="Times New Roman"/>
          <w:color w:val="auto"/>
        </w:rPr>
        <w:t xml:space="preserve"> </w:t>
      </w:r>
      <w:r>
        <w:rPr>
          <w:rFonts w:ascii="Times New Roman" w:hAnsi="Times New Roman" w:cs="Times New Roman"/>
          <w:color w:val="auto"/>
        </w:rPr>
        <w:t>a seguito della</w:t>
      </w:r>
      <w:r w:rsidRPr="00FE70A2">
        <w:rPr>
          <w:rFonts w:ascii="Times New Roman" w:hAnsi="Times New Roman" w:cs="Times New Roman"/>
          <w:color w:val="auto"/>
        </w:rPr>
        <w:t xml:space="preserve"> sottoscri</w:t>
      </w:r>
      <w:r>
        <w:rPr>
          <w:rFonts w:ascii="Times New Roman" w:hAnsi="Times New Roman" w:cs="Times New Roman"/>
          <w:color w:val="auto"/>
        </w:rPr>
        <w:t>zione</w:t>
      </w:r>
      <w:r w:rsidRPr="00FE70A2">
        <w:rPr>
          <w:rFonts w:ascii="Times New Roman" w:hAnsi="Times New Roman" w:cs="Times New Roman"/>
          <w:color w:val="auto"/>
        </w:rPr>
        <w:t xml:space="preserve"> </w:t>
      </w:r>
      <w:r>
        <w:rPr>
          <w:rFonts w:ascii="Times New Roman" w:hAnsi="Times New Roman" w:cs="Times New Roman"/>
          <w:color w:val="auto"/>
        </w:rPr>
        <w:t>del</w:t>
      </w:r>
      <w:r w:rsidRPr="00FE70A2">
        <w:rPr>
          <w:rFonts w:ascii="Times New Roman" w:hAnsi="Times New Roman" w:cs="Times New Roman"/>
          <w:color w:val="auto"/>
        </w:rPr>
        <w:t xml:space="preserve">l’atto di fusione per incorporazione di </w:t>
      </w:r>
      <w:r w:rsidRPr="00FE70A2">
        <w:rPr>
          <w:rFonts w:ascii="Times New Roman" w:hAnsi="Times New Roman"/>
        </w:rPr>
        <w:t xml:space="preserve">Linea Group holding S.p.a. </w:t>
      </w:r>
      <w:r w:rsidRPr="00FE70A2">
        <w:rPr>
          <w:rFonts w:ascii="Times New Roman" w:hAnsi="Times New Roman" w:cs="Times New Roman"/>
          <w:color w:val="auto"/>
        </w:rPr>
        <w:t xml:space="preserve"> in A2A spa con decorrenza degli effetti civilistici della fusione dal 31/12/2021</w:t>
      </w:r>
      <w:r>
        <w:rPr>
          <w:rFonts w:ascii="Times New Roman" w:hAnsi="Times New Roman" w:cs="Times New Roman"/>
          <w:color w:val="auto"/>
        </w:rPr>
        <w:t xml:space="preserve">, ad Asm Pavia spa </w:t>
      </w:r>
      <w:r w:rsidRPr="00FE70A2">
        <w:rPr>
          <w:rFonts w:ascii="Times New Roman" w:hAnsi="Times New Roman"/>
        </w:rPr>
        <w:t>sono state assegnate azioni</w:t>
      </w:r>
      <w:r>
        <w:rPr>
          <w:rFonts w:ascii="Times New Roman" w:hAnsi="Times New Roman"/>
        </w:rPr>
        <w:t xml:space="preserve"> di</w:t>
      </w:r>
      <w:r w:rsidRPr="00726B6B">
        <w:rPr>
          <w:rFonts w:ascii="Times New Roman" w:hAnsi="Times New Roman"/>
          <w:shd w:val="clear" w:color="auto" w:fill="FFFFFF"/>
        </w:rPr>
        <w:t xml:space="preserve"> </w:t>
      </w:r>
      <w:r w:rsidRPr="0067037D">
        <w:rPr>
          <w:rFonts w:ascii="Times New Roman" w:hAnsi="Times New Roman"/>
          <w:shd w:val="clear" w:color="auto" w:fill="FFFFFF"/>
        </w:rPr>
        <w:t>A2A spa pari allo</w:t>
      </w:r>
      <w:r w:rsidRPr="00FE70A2">
        <w:rPr>
          <w:rFonts w:ascii="Times New Roman" w:hAnsi="Times New Roman"/>
        </w:rPr>
        <w:t xml:space="preserve"> 0,44%</w:t>
      </w:r>
      <w:r>
        <w:rPr>
          <w:rFonts w:ascii="Times New Roman" w:hAnsi="Times New Roman"/>
        </w:rPr>
        <w:t xml:space="preserve"> del capitale sociale.</w:t>
      </w:r>
    </w:p>
    <w:p w:rsidR="00507FFC" w:rsidRPr="00ED615C" w:rsidRDefault="00507FFC" w:rsidP="0015434C">
      <w:pPr>
        <w:autoSpaceDE w:val="0"/>
        <w:autoSpaceDN w:val="0"/>
        <w:adjustRightInd w:val="0"/>
        <w:spacing w:after="0" w:line="480" w:lineRule="auto"/>
        <w:jc w:val="both"/>
        <w:rPr>
          <w:rFonts w:ascii="Times New Roman" w:hAnsi="Times New Roman"/>
          <w:sz w:val="24"/>
          <w:szCs w:val="24"/>
          <w:shd w:val="clear" w:color="auto" w:fill="FFFFFF"/>
          <w:lang w:eastAsia="it-IT"/>
        </w:rPr>
      </w:pPr>
      <w:r w:rsidRPr="00FE70A2">
        <w:rPr>
          <w:rFonts w:ascii="Times New Roman" w:hAnsi="Times New Roman"/>
          <w:sz w:val="24"/>
          <w:szCs w:val="24"/>
        </w:rPr>
        <w:t xml:space="preserve">A decorrere dal 31/12/2021 pertanto Linea Group holding S.p.a. è stata </w:t>
      </w:r>
      <w:r>
        <w:rPr>
          <w:rFonts w:ascii="Times New Roman" w:hAnsi="Times New Roman"/>
          <w:sz w:val="24"/>
          <w:szCs w:val="24"/>
        </w:rPr>
        <w:t xml:space="preserve">definitivamente fusa in A2A S.p.a.. </w:t>
      </w:r>
      <w:r>
        <w:rPr>
          <w:rFonts w:ascii="Times New Roman" w:hAnsi="Times New Roman"/>
          <w:sz w:val="24"/>
          <w:szCs w:val="24"/>
          <w:shd w:val="clear" w:color="auto" w:fill="FFFFFF"/>
          <w:lang w:eastAsia="it-IT"/>
        </w:rPr>
        <w:t xml:space="preserve">Nel quadro della </w:t>
      </w:r>
      <w:r w:rsidRPr="00ED615C">
        <w:rPr>
          <w:rFonts w:ascii="Times New Roman" w:hAnsi="Times New Roman"/>
          <w:sz w:val="24"/>
          <w:szCs w:val="24"/>
          <w:shd w:val="clear" w:color="auto" w:fill="FFFFFF"/>
          <w:lang w:eastAsia="it-IT"/>
        </w:rPr>
        <w:t xml:space="preserve">operazione di fusione, oltre ad aspetti meramente economici, sono stati convenuti una serie di impegni a tutela degli interessi dei territori rappresentati dalle società pubbliche già originarie azioniste di </w:t>
      </w:r>
      <w:r w:rsidRPr="00FE70A2">
        <w:rPr>
          <w:rFonts w:ascii="Times New Roman" w:hAnsi="Times New Roman"/>
          <w:sz w:val="24"/>
          <w:szCs w:val="24"/>
        </w:rPr>
        <w:t xml:space="preserve">Linea Group holding S.p.a. </w:t>
      </w:r>
      <w:r w:rsidRPr="00ED615C">
        <w:rPr>
          <w:rFonts w:ascii="Times New Roman" w:hAnsi="Times New Roman"/>
          <w:sz w:val="24"/>
          <w:szCs w:val="24"/>
          <w:shd w:val="clear" w:color="auto" w:fill="FFFFFF"/>
          <w:lang w:eastAsia="it-IT"/>
        </w:rPr>
        <w:t xml:space="preserve">(tra cui </w:t>
      </w:r>
      <w:r>
        <w:rPr>
          <w:rFonts w:ascii="Times New Roman" w:hAnsi="Times New Roman"/>
          <w:sz w:val="24"/>
          <w:szCs w:val="24"/>
          <w:shd w:val="clear" w:color="auto" w:fill="FFFFFF"/>
          <w:lang w:eastAsia="it-IT"/>
        </w:rPr>
        <w:t xml:space="preserve">Asm Pavia spa </w:t>
      </w:r>
      <w:r w:rsidRPr="00ED615C">
        <w:rPr>
          <w:rFonts w:ascii="Times New Roman" w:hAnsi="Times New Roman"/>
          <w:sz w:val="24"/>
          <w:szCs w:val="24"/>
          <w:shd w:val="clear" w:color="auto" w:fill="FFFFFF"/>
          <w:lang w:eastAsia="it-IT"/>
        </w:rPr>
        <w:t>per il</w:t>
      </w:r>
      <w:r>
        <w:rPr>
          <w:rFonts w:ascii="Times New Roman" w:hAnsi="Times New Roman"/>
          <w:sz w:val="24"/>
          <w:szCs w:val="24"/>
          <w:shd w:val="clear" w:color="auto" w:fill="FFFFFF"/>
          <w:lang w:eastAsia="it-IT"/>
        </w:rPr>
        <w:t xml:space="preserve"> Pavese</w:t>
      </w:r>
      <w:r w:rsidRPr="00ED615C">
        <w:rPr>
          <w:rFonts w:ascii="Times New Roman" w:hAnsi="Times New Roman"/>
          <w:sz w:val="24"/>
          <w:szCs w:val="24"/>
          <w:shd w:val="clear" w:color="auto" w:fill="FFFFFF"/>
          <w:lang w:eastAsia="it-IT"/>
        </w:rPr>
        <w:t>), ed in particolare:</w:t>
      </w:r>
    </w:p>
    <w:p w:rsidR="00507FFC" w:rsidRPr="00ED615C" w:rsidRDefault="00507FFC" w:rsidP="0015434C">
      <w:pPr>
        <w:autoSpaceDE w:val="0"/>
        <w:autoSpaceDN w:val="0"/>
        <w:adjustRightInd w:val="0"/>
        <w:spacing w:after="0" w:line="480" w:lineRule="auto"/>
        <w:jc w:val="both"/>
        <w:rPr>
          <w:rFonts w:ascii="Times New Roman" w:hAnsi="Times New Roman"/>
          <w:sz w:val="24"/>
          <w:szCs w:val="24"/>
          <w:shd w:val="clear" w:color="auto" w:fill="FFFFFF"/>
          <w:lang w:eastAsia="it-IT"/>
        </w:rPr>
      </w:pPr>
      <w:r w:rsidRPr="00ED615C">
        <w:rPr>
          <w:rFonts w:ascii="Times New Roman" w:hAnsi="Times New Roman"/>
          <w:sz w:val="24"/>
          <w:szCs w:val="24"/>
          <w:shd w:val="clear" w:color="auto" w:fill="FFFFFF"/>
          <w:lang w:eastAsia="it-IT"/>
        </w:rPr>
        <w:t xml:space="preserve">(i) la costituzione (formalizzata il 20 dicembre 2021) della “Fondazione LGH” (operante nei territori di riferimento dei già soci territoriali di </w:t>
      </w:r>
      <w:r w:rsidRPr="00FE70A2">
        <w:rPr>
          <w:rFonts w:ascii="Times New Roman" w:hAnsi="Times New Roman"/>
          <w:sz w:val="24"/>
          <w:szCs w:val="24"/>
        </w:rPr>
        <w:t>Linea Group holding S.p.a.</w:t>
      </w:r>
      <w:r w:rsidRPr="00ED615C">
        <w:rPr>
          <w:rFonts w:ascii="Times New Roman" w:hAnsi="Times New Roman"/>
          <w:sz w:val="24"/>
          <w:szCs w:val="24"/>
          <w:shd w:val="clear" w:color="auto" w:fill="FFFFFF"/>
          <w:lang w:eastAsia="it-IT"/>
        </w:rPr>
        <w:t>, amministrata da un C.d.A. formato</w:t>
      </w:r>
      <w:r>
        <w:rPr>
          <w:rFonts w:ascii="Times New Roman" w:hAnsi="Times New Roman"/>
          <w:sz w:val="24"/>
          <w:szCs w:val="24"/>
          <w:shd w:val="clear" w:color="auto" w:fill="FFFFFF"/>
          <w:lang w:eastAsia="it-IT"/>
        </w:rPr>
        <w:t xml:space="preserve"> </w:t>
      </w:r>
      <w:r w:rsidRPr="00ED615C">
        <w:rPr>
          <w:rFonts w:ascii="Times New Roman" w:hAnsi="Times New Roman"/>
          <w:sz w:val="24"/>
          <w:szCs w:val="24"/>
          <w:shd w:val="clear" w:color="auto" w:fill="FFFFFF"/>
          <w:lang w:eastAsia="it-IT"/>
        </w:rPr>
        <w:t xml:space="preserve">da 2 membri, fra cui il presidente, nominati da A2A S.p.A., e 5 membri nominati dai già soci territoriali di </w:t>
      </w:r>
      <w:r w:rsidRPr="00FE70A2">
        <w:rPr>
          <w:rFonts w:ascii="Times New Roman" w:hAnsi="Times New Roman"/>
          <w:sz w:val="24"/>
          <w:szCs w:val="24"/>
        </w:rPr>
        <w:t>Linea Group holding S.p.a.</w:t>
      </w:r>
      <w:r w:rsidRPr="00ED615C">
        <w:rPr>
          <w:rFonts w:ascii="Times New Roman" w:hAnsi="Times New Roman"/>
          <w:sz w:val="24"/>
          <w:szCs w:val="24"/>
          <w:shd w:val="clear" w:color="auto" w:fill="FFFFFF"/>
          <w:lang w:eastAsia="it-IT"/>
        </w:rPr>
        <w:t xml:space="preserve">, tra cui quindi un esponente espresso dal </w:t>
      </w:r>
      <w:r>
        <w:rPr>
          <w:rFonts w:ascii="Times New Roman" w:hAnsi="Times New Roman"/>
          <w:sz w:val="24"/>
          <w:szCs w:val="24"/>
          <w:shd w:val="clear" w:color="auto" w:fill="FFFFFF"/>
          <w:lang w:eastAsia="it-IT"/>
        </w:rPr>
        <w:t>pavese</w:t>
      </w:r>
      <w:r w:rsidRPr="00ED615C">
        <w:rPr>
          <w:rFonts w:ascii="Times New Roman" w:hAnsi="Times New Roman"/>
          <w:sz w:val="24"/>
          <w:szCs w:val="24"/>
          <w:shd w:val="clear" w:color="auto" w:fill="FFFFFF"/>
          <w:lang w:eastAsia="it-IT"/>
        </w:rPr>
        <w:t xml:space="preserve">, indicato da </w:t>
      </w:r>
      <w:r>
        <w:rPr>
          <w:rFonts w:ascii="Times New Roman" w:hAnsi="Times New Roman"/>
          <w:sz w:val="24"/>
          <w:szCs w:val="24"/>
          <w:shd w:val="clear" w:color="auto" w:fill="FFFFFF"/>
          <w:lang w:eastAsia="it-IT"/>
        </w:rPr>
        <w:t>Asm Pavia spa</w:t>
      </w:r>
      <w:r w:rsidRPr="00ED615C">
        <w:rPr>
          <w:rFonts w:ascii="Times New Roman" w:hAnsi="Times New Roman"/>
          <w:sz w:val="24"/>
          <w:szCs w:val="24"/>
          <w:shd w:val="clear" w:color="auto" w:fill="FFFFFF"/>
          <w:lang w:eastAsia="it-IT"/>
        </w:rPr>
        <w:t>);</w:t>
      </w:r>
    </w:p>
    <w:p w:rsidR="00507FFC" w:rsidRDefault="00507FFC" w:rsidP="0015434C">
      <w:pPr>
        <w:autoSpaceDE w:val="0"/>
        <w:autoSpaceDN w:val="0"/>
        <w:adjustRightInd w:val="0"/>
        <w:spacing w:after="0" w:line="480" w:lineRule="auto"/>
        <w:jc w:val="both"/>
        <w:rPr>
          <w:rFonts w:ascii="Times New Roman" w:hAnsi="Times New Roman"/>
          <w:sz w:val="24"/>
          <w:szCs w:val="24"/>
          <w:shd w:val="clear" w:color="auto" w:fill="FFFFFF"/>
          <w:lang w:eastAsia="it-IT"/>
        </w:rPr>
      </w:pPr>
      <w:r w:rsidRPr="00ED615C">
        <w:rPr>
          <w:rFonts w:ascii="Times New Roman" w:hAnsi="Times New Roman"/>
          <w:sz w:val="24"/>
          <w:szCs w:val="24"/>
          <w:shd w:val="clear" w:color="auto" w:fill="FFFFFF"/>
          <w:lang w:eastAsia="it-IT"/>
        </w:rPr>
        <w:lastRenderedPageBreak/>
        <w:t>(ii) il mantenimento per almeno 36 mesi del Comitato</w:t>
      </w:r>
      <w:r>
        <w:rPr>
          <w:rFonts w:ascii="Times New Roman" w:hAnsi="Times New Roman"/>
          <w:sz w:val="24"/>
          <w:szCs w:val="24"/>
          <w:shd w:val="clear" w:color="auto" w:fill="FFFFFF"/>
          <w:lang w:eastAsia="it-IT"/>
        </w:rPr>
        <w:t xml:space="preserve"> del</w:t>
      </w:r>
      <w:r w:rsidRPr="00ED615C">
        <w:rPr>
          <w:rFonts w:ascii="Times New Roman" w:hAnsi="Times New Roman"/>
          <w:sz w:val="24"/>
          <w:szCs w:val="24"/>
          <w:shd w:val="clear" w:color="auto" w:fill="FFFFFF"/>
          <w:lang w:eastAsia="it-IT"/>
        </w:rPr>
        <w:t xml:space="preserve"> Territorio (rinnovato l’11 ottobre 2021), composto da 7 membri, di cui due (tra cui il presidente) nominati da A2A S.p.A. ed i restanti 5, uno per territorio di riferimento, nominati dai cinque soci territoriali, tra cui </w:t>
      </w:r>
      <w:r>
        <w:rPr>
          <w:rFonts w:ascii="Times New Roman" w:hAnsi="Times New Roman"/>
          <w:sz w:val="24"/>
          <w:szCs w:val="24"/>
          <w:shd w:val="clear" w:color="auto" w:fill="FFFFFF"/>
          <w:lang w:eastAsia="it-IT"/>
        </w:rPr>
        <w:t>Asm Pavia spa</w:t>
      </w:r>
      <w:r w:rsidRPr="00ED615C">
        <w:rPr>
          <w:rFonts w:ascii="Times New Roman" w:hAnsi="Times New Roman"/>
          <w:sz w:val="24"/>
          <w:szCs w:val="24"/>
          <w:shd w:val="clear" w:color="auto" w:fill="FFFFFF"/>
          <w:lang w:eastAsia="it-IT"/>
        </w:rPr>
        <w:t xml:space="preserve">. </w:t>
      </w:r>
    </w:p>
    <w:p w:rsidR="00507FFC" w:rsidRPr="00A95952" w:rsidRDefault="00507FFC" w:rsidP="0015434C">
      <w:pPr>
        <w:spacing w:after="0" w:line="480" w:lineRule="auto"/>
        <w:jc w:val="both"/>
        <w:rPr>
          <w:rFonts w:ascii="Times New Roman" w:hAnsi="Times New Roman"/>
          <w:bCs/>
          <w:sz w:val="24"/>
          <w:szCs w:val="24"/>
        </w:rPr>
      </w:pPr>
      <w:r w:rsidRPr="00A95952">
        <w:rPr>
          <w:rFonts w:ascii="Times New Roman" w:hAnsi="Times New Roman"/>
          <w:bCs/>
          <w:sz w:val="24"/>
          <w:szCs w:val="24"/>
        </w:rPr>
        <w:t>La partecipazione in A2A</w:t>
      </w:r>
      <w:r w:rsidRPr="00054ECE">
        <w:rPr>
          <w:rFonts w:ascii="Times New Roman" w:hAnsi="Times New Roman"/>
          <w:sz w:val="24"/>
          <w:szCs w:val="24"/>
          <w:shd w:val="clear" w:color="auto" w:fill="FFFFFF"/>
          <w:lang w:eastAsia="it-IT"/>
        </w:rPr>
        <w:t xml:space="preserve"> </w:t>
      </w:r>
      <w:r w:rsidRPr="00ED615C">
        <w:rPr>
          <w:rFonts w:ascii="Times New Roman" w:hAnsi="Times New Roman"/>
          <w:sz w:val="24"/>
          <w:szCs w:val="24"/>
          <w:shd w:val="clear" w:color="auto" w:fill="FFFFFF"/>
          <w:lang w:eastAsia="it-IT"/>
        </w:rPr>
        <w:t xml:space="preserve">S.p.A. </w:t>
      </w:r>
      <w:r w:rsidRPr="00A95952">
        <w:rPr>
          <w:rFonts w:ascii="Times New Roman" w:hAnsi="Times New Roman"/>
          <w:bCs/>
          <w:sz w:val="24"/>
          <w:szCs w:val="24"/>
        </w:rPr>
        <w:t xml:space="preserve">risulta mantenibile ai sensi del D.Lgs. n. 175/2016, innanzitutto in quanto A2A S.p.A., in specie mediante le società operative controllate, opera nell’ambito dei servizi pubblici locali di cui al D.Lgs. n. 201/2022 e in altri diversi settori nevralgici nel quadro della transizione ecologica ed energetica, quali il trattamento, il recupero e la valorizzazione energetica dei rifiuti, produzione di energia elettrica da fonti rinnovabili, l’efficientamento energetico, la mobilità elettrica ed i servizi integrati e digitalizzati di </w:t>
      </w:r>
      <w:r w:rsidRPr="00A95952">
        <w:rPr>
          <w:rFonts w:ascii="Times New Roman" w:hAnsi="Times New Roman"/>
          <w:bCs/>
          <w:i/>
          <w:iCs/>
          <w:sz w:val="24"/>
          <w:szCs w:val="24"/>
        </w:rPr>
        <w:t xml:space="preserve">smart city </w:t>
      </w:r>
      <w:r w:rsidRPr="00A95952">
        <w:rPr>
          <w:rFonts w:ascii="Times New Roman" w:hAnsi="Times New Roman"/>
          <w:bCs/>
          <w:sz w:val="24"/>
          <w:szCs w:val="24"/>
        </w:rPr>
        <w:t>(nel campo di sicurezza, ambiente, gestione e controllo del traffico, connettività, gestione dei dati).</w:t>
      </w:r>
      <w:r>
        <w:rPr>
          <w:rFonts w:ascii="Times New Roman" w:hAnsi="Times New Roman"/>
          <w:bCs/>
          <w:sz w:val="24"/>
          <w:szCs w:val="24"/>
        </w:rPr>
        <w:t xml:space="preserve"> </w:t>
      </w:r>
      <w:r w:rsidRPr="00A95952">
        <w:rPr>
          <w:rFonts w:ascii="Times New Roman" w:hAnsi="Times New Roman"/>
          <w:bCs/>
          <w:sz w:val="24"/>
          <w:szCs w:val="24"/>
        </w:rPr>
        <w:t>Si tratta quindi di servizi d’interesse generale di cui all’art. 4, co. 2, lett. a), D.Lgs. 175/2016.</w:t>
      </w:r>
    </w:p>
    <w:p w:rsidR="00507FFC" w:rsidRPr="00A95952" w:rsidRDefault="00507FFC" w:rsidP="0015434C">
      <w:pPr>
        <w:autoSpaceDE w:val="0"/>
        <w:autoSpaceDN w:val="0"/>
        <w:adjustRightInd w:val="0"/>
        <w:spacing w:after="0" w:line="480" w:lineRule="auto"/>
        <w:jc w:val="both"/>
        <w:rPr>
          <w:rFonts w:ascii="Times New Roman" w:hAnsi="Times New Roman"/>
          <w:bCs/>
          <w:sz w:val="24"/>
          <w:szCs w:val="24"/>
        </w:rPr>
      </w:pPr>
      <w:r w:rsidRPr="00A95952">
        <w:rPr>
          <w:rFonts w:ascii="Times New Roman" w:hAnsi="Times New Roman"/>
          <w:bCs/>
          <w:sz w:val="24"/>
          <w:szCs w:val="24"/>
        </w:rPr>
        <w:t>In tal quadro, la partecipazione in A2A S.p.A. assume valore strategico, poiché consente al Comune di Pavia, ed agli altri Comuni soci di ASM Pavia</w:t>
      </w:r>
      <w:r>
        <w:rPr>
          <w:rFonts w:ascii="Times New Roman" w:hAnsi="Times New Roman"/>
          <w:bCs/>
          <w:sz w:val="24"/>
          <w:szCs w:val="24"/>
        </w:rPr>
        <w:t xml:space="preserve"> spa</w:t>
      </w:r>
      <w:r w:rsidRPr="00A95952">
        <w:rPr>
          <w:rFonts w:ascii="Times New Roman" w:hAnsi="Times New Roman"/>
          <w:bCs/>
          <w:sz w:val="24"/>
          <w:szCs w:val="24"/>
        </w:rPr>
        <w:t xml:space="preserve">, di interloquire con A2A </w:t>
      </w:r>
      <w:r w:rsidRPr="00ED615C">
        <w:rPr>
          <w:rFonts w:ascii="Times New Roman" w:hAnsi="Times New Roman"/>
          <w:sz w:val="24"/>
          <w:szCs w:val="24"/>
          <w:shd w:val="clear" w:color="auto" w:fill="FFFFFF"/>
          <w:lang w:eastAsia="it-IT"/>
        </w:rPr>
        <w:t xml:space="preserve">S.p.A. </w:t>
      </w:r>
      <w:r w:rsidRPr="00A95952">
        <w:rPr>
          <w:rFonts w:ascii="Times New Roman" w:hAnsi="Times New Roman"/>
          <w:bCs/>
          <w:sz w:val="24"/>
          <w:szCs w:val="24"/>
        </w:rPr>
        <w:t>e le anzidette società operative erogatrici di servizi (es. in caso di smaltimento rifiuti) anche nella veste di socio, e non solo di contraente</w:t>
      </w:r>
      <w:r w:rsidRPr="00A95952">
        <w:rPr>
          <w:rFonts w:ascii="Times New Roman" w:hAnsi="Times New Roman"/>
          <w:sz w:val="24"/>
          <w:szCs w:val="24"/>
          <w:shd w:val="clear" w:color="auto" w:fill="FFFFFF"/>
          <w:lang w:eastAsia="it-IT"/>
        </w:rPr>
        <w:t xml:space="preserve"> </w:t>
      </w:r>
      <w:r w:rsidRPr="00ED615C">
        <w:rPr>
          <w:rFonts w:ascii="Times New Roman" w:hAnsi="Times New Roman"/>
          <w:sz w:val="24"/>
          <w:szCs w:val="24"/>
          <w:shd w:val="clear" w:color="auto" w:fill="FFFFFF"/>
          <w:lang w:eastAsia="it-IT"/>
        </w:rPr>
        <w:t xml:space="preserve">e dunque di esercitare una più marcata influenza sull’organizzazione dei servizi ed i relativi investimenti, in particolare anche attraverso il Comitato </w:t>
      </w:r>
      <w:r>
        <w:rPr>
          <w:rFonts w:ascii="Times New Roman" w:hAnsi="Times New Roman"/>
          <w:sz w:val="24"/>
          <w:szCs w:val="24"/>
          <w:shd w:val="clear" w:color="auto" w:fill="FFFFFF"/>
          <w:lang w:eastAsia="it-IT"/>
        </w:rPr>
        <w:t xml:space="preserve">del </w:t>
      </w:r>
      <w:r w:rsidRPr="00ED615C">
        <w:rPr>
          <w:rFonts w:ascii="Times New Roman" w:hAnsi="Times New Roman"/>
          <w:sz w:val="24"/>
          <w:szCs w:val="24"/>
          <w:shd w:val="clear" w:color="auto" w:fill="FFFFFF"/>
          <w:lang w:eastAsia="it-IT"/>
        </w:rPr>
        <w:t>Territorio previsto da</w:t>
      </w:r>
      <w:r>
        <w:rPr>
          <w:rFonts w:ascii="Times New Roman" w:hAnsi="Times New Roman"/>
          <w:sz w:val="24"/>
          <w:szCs w:val="24"/>
          <w:shd w:val="clear" w:color="auto" w:fill="FFFFFF"/>
          <w:lang w:eastAsia="it-IT"/>
        </w:rPr>
        <w:t>gli</w:t>
      </w:r>
      <w:r w:rsidRPr="00ED615C">
        <w:rPr>
          <w:rFonts w:ascii="Times New Roman" w:hAnsi="Times New Roman"/>
          <w:sz w:val="24"/>
          <w:szCs w:val="24"/>
          <w:shd w:val="clear" w:color="auto" w:fill="FFFFFF"/>
          <w:lang w:eastAsia="it-IT"/>
        </w:rPr>
        <w:t xml:space="preserve"> </w:t>
      </w:r>
      <w:r>
        <w:rPr>
          <w:rFonts w:ascii="Times New Roman" w:hAnsi="Times New Roman"/>
          <w:sz w:val="24"/>
          <w:szCs w:val="24"/>
          <w:shd w:val="clear" w:color="auto" w:fill="FFFFFF"/>
          <w:lang w:eastAsia="it-IT"/>
        </w:rPr>
        <w:t xml:space="preserve"> </w:t>
      </w:r>
      <w:r w:rsidRPr="00ED615C">
        <w:rPr>
          <w:rFonts w:ascii="Times New Roman" w:hAnsi="Times New Roman"/>
          <w:sz w:val="24"/>
          <w:szCs w:val="24"/>
          <w:shd w:val="clear" w:color="auto" w:fill="FFFFFF"/>
          <w:lang w:eastAsia="it-IT"/>
        </w:rPr>
        <w:t xml:space="preserve">accordi di fusione tra A2A S.p.A. e </w:t>
      </w:r>
      <w:r w:rsidRPr="00FE70A2">
        <w:rPr>
          <w:rFonts w:ascii="Times New Roman" w:hAnsi="Times New Roman"/>
          <w:sz w:val="24"/>
          <w:szCs w:val="24"/>
        </w:rPr>
        <w:t>Linea Group holding S.p.a.</w:t>
      </w:r>
      <w:r w:rsidRPr="00ED615C">
        <w:rPr>
          <w:rFonts w:ascii="Times New Roman" w:hAnsi="Times New Roman"/>
          <w:sz w:val="24"/>
          <w:szCs w:val="24"/>
          <w:shd w:val="clear" w:color="auto" w:fill="FFFFFF"/>
          <w:lang w:eastAsia="it-IT"/>
        </w:rPr>
        <w:t>.</w:t>
      </w:r>
    </w:p>
    <w:p w:rsidR="00507FFC" w:rsidRPr="00A95952" w:rsidRDefault="00507FFC" w:rsidP="0015434C">
      <w:pPr>
        <w:spacing w:after="0" w:line="480" w:lineRule="auto"/>
        <w:jc w:val="both"/>
        <w:rPr>
          <w:rFonts w:ascii="Times New Roman" w:hAnsi="Times New Roman"/>
          <w:bCs/>
          <w:sz w:val="24"/>
          <w:szCs w:val="24"/>
        </w:rPr>
      </w:pPr>
      <w:r w:rsidRPr="00A95952">
        <w:rPr>
          <w:rFonts w:ascii="Times New Roman" w:hAnsi="Times New Roman"/>
          <w:bCs/>
          <w:sz w:val="24"/>
          <w:szCs w:val="24"/>
        </w:rPr>
        <w:t xml:space="preserve">Inoltre, la stessa partecipazione risulta ugualmente ed in ogni caso mantenibile ai sensi del combinato disposto dell’art. 2, co.1, lett. p), e dell’art. 26, co. 3, D. Lgs. 175/2016, posto che A2A </w:t>
      </w:r>
      <w:r w:rsidRPr="00ED615C">
        <w:rPr>
          <w:rFonts w:ascii="Times New Roman" w:hAnsi="Times New Roman"/>
          <w:sz w:val="24"/>
          <w:szCs w:val="24"/>
          <w:shd w:val="clear" w:color="auto" w:fill="FFFFFF"/>
          <w:lang w:eastAsia="it-IT"/>
        </w:rPr>
        <w:t xml:space="preserve">S.p.A. </w:t>
      </w:r>
      <w:r w:rsidRPr="00A95952">
        <w:rPr>
          <w:rFonts w:ascii="Times New Roman" w:hAnsi="Times New Roman"/>
          <w:bCs/>
          <w:sz w:val="24"/>
          <w:szCs w:val="24"/>
        </w:rPr>
        <w:t xml:space="preserve">è società a partecipazione prevalentemente pubblica quotata in borsa da prima del 31 dicembre 2015 e che alla medesima data, </w:t>
      </w:r>
      <w:r w:rsidRPr="00FE70A2">
        <w:rPr>
          <w:rFonts w:ascii="Times New Roman" w:hAnsi="Times New Roman"/>
          <w:sz w:val="24"/>
          <w:szCs w:val="24"/>
        </w:rPr>
        <w:t>Linea Group holding S.p.a.</w:t>
      </w:r>
      <w:r w:rsidRPr="00A95952">
        <w:rPr>
          <w:rFonts w:ascii="Times New Roman" w:hAnsi="Times New Roman"/>
          <w:bCs/>
          <w:sz w:val="24"/>
          <w:szCs w:val="24"/>
        </w:rPr>
        <w:t>, poi confluita in A2A S.p.A., risultava aver emesso (nel corso del 2013) un prestito obbligazionario non convertibile quotato nella borsa del Lussemburgo e quindi uno strumento finanziario, diverso dalle azioni, quotato in un mercato regolamentato.</w:t>
      </w:r>
    </w:p>
    <w:p w:rsidR="00507FFC" w:rsidRPr="00A95952" w:rsidRDefault="00507FFC" w:rsidP="0015434C">
      <w:pPr>
        <w:spacing w:after="0" w:line="480" w:lineRule="auto"/>
        <w:jc w:val="both"/>
        <w:rPr>
          <w:rFonts w:ascii="Times New Roman" w:hAnsi="Times New Roman"/>
          <w:bCs/>
          <w:sz w:val="24"/>
          <w:szCs w:val="24"/>
        </w:rPr>
      </w:pPr>
      <w:r w:rsidRPr="00A95952">
        <w:rPr>
          <w:rFonts w:ascii="Times New Roman" w:hAnsi="Times New Roman"/>
          <w:bCs/>
          <w:sz w:val="24"/>
          <w:szCs w:val="24"/>
        </w:rPr>
        <w:t>Il mantenimento della partecipazione in A2A S.p.A. risulta peraltro ammesso ai sensi dell’art. 4, co.</w:t>
      </w:r>
      <w:r>
        <w:rPr>
          <w:rFonts w:ascii="Times New Roman" w:hAnsi="Times New Roman"/>
          <w:bCs/>
          <w:sz w:val="24"/>
          <w:szCs w:val="24"/>
        </w:rPr>
        <w:t xml:space="preserve"> </w:t>
      </w:r>
      <w:r w:rsidRPr="00A95952">
        <w:rPr>
          <w:rFonts w:ascii="Times New Roman" w:hAnsi="Times New Roman"/>
          <w:bCs/>
          <w:sz w:val="24"/>
          <w:szCs w:val="24"/>
        </w:rPr>
        <w:t>9</w:t>
      </w:r>
      <w:r w:rsidRPr="00A95952">
        <w:rPr>
          <w:rFonts w:ascii="Times New Roman" w:hAnsi="Times New Roman"/>
          <w:bCs/>
          <w:i/>
          <w:iCs/>
          <w:sz w:val="24"/>
          <w:szCs w:val="24"/>
        </w:rPr>
        <w:t>bis</w:t>
      </w:r>
      <w:r w:rsidRPr="00A95952">
        <w:rPr>
          <w:rFonts w:ascii="Times New Roman" w:hAnsi="Times New Roman"/>
          <w:bCs/>
          <w:sz w:val="24"/>
          <w:szCs w:val="24"/>
        </w:rPr>
        <w:t>, D.Lgs. 175/2016, in forza del quale “</w:t>
      </w:r>
      <w:r w:rsidRPr="00A95952">
        <w:rPr>
          <w:rFonts w:ascii="Times New Roman" w:hAnsi="Times New Roman"/>
          <w:bCs/>
          <w:i/>
          <w:iCs/>
          <w:sz w:val="24"/>
          <w:szCs w:val="24"/>
        </w:rPr>
        <w:t>[n]el rispetto della disciplina europea, è fatta salva la possibilità per le amministrazioni pubbliche di acquisire o mantenere</w:t>
      </w:r>
      <w:r w:rsidRPr="00A95952">
        <w:rPr>
          <w:rFonts w:ascii="Times New Roman" w:hAnsi="Times New Roman"/>
          <w:bCs/>
          <w:sz w:val="24"/>
          <w:szCs w:val="24"/>
        </w:rPr>
        <w:t xml:space="preserve"> </w:t>
      </w:r>
      <w:r w:rsidRPr="00A95952">
        <w:rPr>
          <w:rFonts w:ascii="Times New Roman" w:hAnsi="Times New Roman"/>
          <w:bCs/>
          <w:i/>
          <w:iCs/>
          <w:sz w:val="24"/>
          <w:szCs w:val="24"/>
        </w:rPr>
        <w:t xml:space="preserve">partecipazioni in società che </w:t>
      </w:r>
      <w:r w:rsidRPr="00A95952">
        <w:rPr>
          <w:rFonts w:ascii="Times New Roman" w:hAnsi="Times New Roman"/>
          <w:bCs/>
          <w:i/>
          <w:iCs/>
          <w:sz w:val="24"/>
          <w:szCs w:val="24"/>
        </w:rPr>
        <w:lastRenderedPageBreak/>
        <w:t>producono servizi economici di interesse</w:t>
      </w:r>
      <w:r w:rsidRPr="00A95952">
        <w:rPr>
          <w:rFonts w:ascii="Times New Roman" w:hAnsi="Times New Roman"/>
          <w:bCs/>
          <w:sz w:val="24"/>
          <w:szCs w:val="24"/>
        </w:rPr>
        <w:t xml:space="preserve"> </w:t>
      </w:r>
      <w:r w:rsidRPr="00A95952">
        <w:rPr>
          <w:rFonts w:ascii="Times New Roman" w:hAnsi="Times New Roman"/>
          <w:bCs/>
          <w:i/>
          <w:iCs/>
          <w:sz w:val="24"/>
          <w:szCs w:val="24"/>
        </w:rPr>
        <w:t>generale a rete, di cui all’articolo 3-bis del decreto-legge 13 agosto 2011,</w:t>
      </w:r>
      <w:r w:rsidRPr="00A95952">
        <w:rPr>
          <w:rFonts w:ascii="Times New Roman" w:hAnsi="Times New Roman"/>
          <w:bCs/>
          <w:sz w:val="24"/>
          <w:szCs w:val="24"/>
        </w:rPr>
        <w:t xml:space="preserve"> </w:t>
      </w:r>
      <w:r w:rsidRPr="00A95952">
        <w:rPr>
          <w:rFonts w:ascii="Times New Roman" w:hAnsi="Times New Roman"/>
          <w:bCs/>
          <w:i/>
          <w:iCs/>
          <w:sz w:val="24"/>
          <w:szCs w:val="24"/>
        </w:rPr>
        <w:t>n. 138, convertito, con modificazioni, dalla legge 14 settembre 2011, n. 148,</w:t>
      </w:r>
      <w:r w:rsidRPr="00A95952">
        <w:rPr>
          <w:rFonts w:ascii="Times New Roman" w:hAnsi="Times New Roman"/>
          <w:bCs/>
          <w:sz w:val="24"/>
          <w:szCs w:val="24"/>
        </w:rPr>
        <w:t xml:space="preserve"> </w:t>
      </w:r>
      <w:r w:rsidRPr="00A95952">
        <w:rPr>
          <w:rFonts w:ascii="Times New Roman" w:hAnsi="Times New Roman"/>
          <w:bCs/>
          <w:i/>
          <w:iCs/>
          <w:sz w:val="24"/>
          <w:szCs w:val="24"/>
        </w:rPr>
        <w:t>anche fuori dall’ambito territoriale della collettività di riferimento, in</w:t>
      </w:r>
      <w:r w:rsidRPr="00A95952">
        <w:rPr>
          <w:rFonts w:ascii="Times New Roman" w:hAnsi="Times New Roman"/>
          <w:bCs/>
          <w:sz w:val="24"/>
          <w:szCs w:val="24"/>
        </w:rPr>
        <w:t xml:space="preserve"> </w:t>
      </w:r>
      <w:r w:rsidRPr="00A95952">
        <w:rPr>
          <w:rFonts w:ascii="Times New Roman" w:hAnsi="Times New Roman"/>
          <w:bCs/>
          <w:i/>
          <w:iCs/>
          <w:sz w:val="24"/>
          <w:szCs w:val="24"/>
        </w:rPr>
        <w:t>deroga alle previsioni di cui al comma 2, lettera a), purché l’affidamento</w:t>
      </w:r>
      <w:r w:rsidRPr="00A95952">
        <w:rPr>
          <w:rFonts w:ascii="Times New Roman" w:hAnsi="Times New Roman"/>
          <w:bCs/>
          <w:sz w:val="24"/>
          <w:szCs w:val="24"/>
        </w:rPr>
        <w:t xml:space="preserve"> </w:t>
      </w:r>
      <w:r w:rsidRPr="00A95952">
        <w:rPr>
          <w:rFonts w:ascii="Times New Roman" w:hAnsi="Times New Roman"/>
          <w:bCs/>
          <w:i/>
          <w:iCs/>
          <w:sz w:val="24"/>
          <w:szCs w:val="24"/>
        </w:rPr>
        <w:t>dei servizi, in corso e nuovi, sia avvenuto e avvenga tramite procedure ad</w:t>
      </w:r>
      <w:r w:rsidRPr="00A95952">
        <w:rPr>
          <w:rFonts w:ascii="Times New Roman" w:hAnsi="Times New Roman"/>
          <w:bCs/>
          <w:sz w:val="24"/>
          <w:szCs w:val="24"/>
        </w:rPr>
        <w:t xml:space="preserve"> </w:t>
      </w:r>
      <w:r w:rsidRPr="00A95952">
        <w:rPr>
          <w:rFonts w:ascii="Times New Roman" w:hAnsi="Times New Roman"/>
          <w:bCs/>
          <w:i/>
          <w:iCs/>
          <w:sz w:val="24"/>
          <w:szCs w:val="24"/>
        </w:rPr>
        <w:t>evidenza pubblica</w:t>
      </w:r>
      <w:r w:rsidRPr="00A95952">
        <w:rPr>
          <w:rFonts w:ascii="Times New Roman" w:hAnsi="Times New Roman"/>
          <w:bCs/>
          <w:sz w:val="24"/>
          <w:szCs w:val="24"/>
        </w:rPr>
        <w:t xml:space="preserve">”, come nel caso di specie, rispetto all’attività svolta dalle varie </w:t>
      </w:r>
      <w:r>
        <w:rPr>
          <w:rFonts w:ascii="Times New Roman" w:hAnsi="Times New Roman"/>
          <w:bCs/>
          <w:sz w:val="24"/>
          <w:szCs w:val="24"/>
        </w:rPr>
        <w:t>s</w:t>
      </w:r>
      <w:r w:rsidRPr="00A95952">
        <w:rPr>
          <w:rFonts w:ascii="Times New Roman" w:hAnsi="Times New Roman"/>
          <w:bCs/>
          <w:sz w:val="24"/>
          <w:szCs w:val="24"/>
        </w:rPr>
        <w:t>ocietà appartenenti al Gruppo A2A.</w:t>
      </w:r>
    </w:p>
    <w:p w:rsidR="00507FFC" w:rsidRPr="00A95952" w:rsidRDefault="00507FFC" w:rsidP="0015434C">
      <w:pPr>
        <w:spacing w:after="0" w:line="480" w:lineRule="auto"/>
        <w:jc w:val="both"/>
        <w:rPr>
          <w:rFonts w:ascii="Times New Roman" w:hAnsi="Times New Roman"/>
          <w:bCs/>
          <w:sz w:val="24"/>
          <w:szCs w:val="24"/>
        </w:rPr>
      </w:pPr>
      <w:r w:rsidRPr="00A95952">
        <w:rPr>
          <w:rFonts w:ascii="Times New Roman" w:hAnsi="Times New Roman"/>
          <w:bCs/>
          <w:sz w:val="24"/>
          <w:szCs w:val="24"/>
        </w:rPr>
        <w:t>Infine, il mantenimento delle azioni A2A S.p.A. deriva altresì dalla circostanza che l’eventuale dismissione avrebbe come diretta conseguenza la fuoriuscita di ASM</w:t>
      </w:r>
      <w:r>
        <w:rPr>
          <w:rFonts w:ascii="Times New Roman" w:hAnsi="Times New Roman"/>
          <w:bCs/>
          <w:sz w:val="24"/>
          <w:szCs w:val="24"/>
        </w:rPr>
        <w:t xml:space="preserve"> Pavia spa</w:t>
      </w:r>
      <w:r w:rsidRPr="00A95952">
        <w:rPr>
          <w:rFonts w:ascii="Times New Roman" w:hAnsi="Times New Roman"/>
          <w:bCs/>
          <w:sz w:val="24"/>
          <w:szCs w:val="24"/>
        </w:rPr>
        <w:t xml:space="preserve"> </w:t>
      </w:r>
      <w:r>
        <w:rPr>
          <w:rFonts w:ascii="Times New Roman" w:hAnsi="Times New Roman"/>
          <w:bCs/>
          <w:sz w:val="24"/>
          <w:szCs w:val="24"/>
        </w:rPr>
        <w:t>dalla Fondazione LGH, la quale</w:t>
      </w:r>
      <w:r w:rsidRPr="00A95952">
        <w:rPr>
          <w:rFonts w:ascii="Times New Roman" w:hAnsi="Times New Roman"/>
          <w:bCs/>
          <w:sz w:val="24"/>
          <w:szCs w:val="24"/>
        </w:rPr>
        <w:t xml:space="preserve"> annualmente sostiene iniziative sul territorio pavese, in diretta connessione con i servizi di interesse generale svolti dall</w:t>
      </w:r>
      <w:r>
        <w:rPr>
          <w:rFonts w:ascii="Times New Roman" w:hAnsi="Times New Roman"/>
          <w:bCs/>
          <w:sz w:val="24"/>
          <w:szCs w:val="24"/>
        </w:rPr>
        <w:t>e</w:t>
      </w:r>
      <w:r w:rsidRPr="00A95952">
        <w:rPr>
          <w:rFonts w:ascii="Times New Roman" w:hAnsi="Times New Roman"/>
          <w:bCs/>
          <w:sz w:val="24"/>
          <w:szCs w:val="24"/>
        </w:rPr>
        <w:t xml:space="preserve"> società del Gruppo e dalla stessa ASM Pavia</w:t>
      </w:r>
      <w:r>
        <w:rPr>
          <w:rFonts w:ascii="Times New Roman" w:hAnsi="Times New Roman"/>
          <w:bCs/>
          <w:sz w:val="24"/>
          <w:szCs w:val="24"/>
        </w:rPr>
        <w:t xml:space="preserve"> spa</w:t>
      </w:r>
      <w:r w:rsidRPr="00A95952">
        <w:rPr>
          <w:rFonts w:ascii="Times New Roman" w:hAnsi="Times New Roman"/>
          <w:bCs/>
          <w:sz w:val="24"/>
          <w:szCs w:val="24"/>
        </w:rPr>
        <w:t xml:space="preserve"> (in particolare, per quanto riguarda gli aspetti ambientali connessi al servizio di igiene ambientale svolto dalla </w:t>
      </w:r>
      <w:r>
        <w:rPr>
          <w:rFonts w:ascii="Times New Roman" w:hAnsi="Times New Roman"/>
          <w:bCs/>
          <w:sz w:val="24"/>
          <w:szCs w:val="24"/>
        </w:rPr>
        <w:t>s</w:t>
      </w:r>
      <w:r w:rsidRPr="00A95952">
        <w:rPr>
          <w:rFonts w:ascii="Times New Roman" w:hAnsi="Times New Roman"/>
          <w:bCs/>
          <w:sz w:val="24"/>
          <w:szCs w:val="24"/>
        </w:rPr>
        <w:t>ocietà).</w:t>
      </w:r>
    </w:p>
    <w:p w:rsidR="00507FFC" w:rsidRPr="00AF00C2" w:rsidRDefault="00507FFC" w:rsidP="001A252C">
      <w:pPr>
        <w:spacing w:after="0" w:line="480" w:lineRule="auto"/>
        <w:jc w:val="both"/>
        <w:rPr>
          <w:rFonts w:ascii="Times New Roman" w:hAnsi="Times New Roman"/>
          <w:sz w:val="24"/>
          <w:szCs w:val="24"/>
        </w:rPr>
      </w:pPr>
    </w:p>
    <w:p w:rsidR="00507FFC" w:rsidRPr="00AF00C2" w:rsidRDefault="00507FFC" w:rsidP="001A252C">
      <w:pPr>
        <w:spacing w:after="0" w:line="480" w:lineRule="auto"/>
        <w:jc w:val="both"/>
        <w:rPr>
          <w:rFonts w:ascii="Times New Roman" w:hAnsi="Times New Roman"/>
          <w:sz w:val="24"/>
          <w:szCs w:val="24"/>
        </w:rPr>
      </w:pPr>
    </w:p>
    <w:p w:rsidR="00507FFC" w:rsidRPr="00AF00C2" w:rsidRDefault="00507FFC" w:rsidP="001A252C">
      <w:pPr>
        <w:spacing w:after="0" w:line="480" w:lineRule="auto"/>
        <w:jc w:val="both"/>
        <w:rPr>
          <w:rFonts w:ascii="Times New Roman" w:hAnsi="Times New Roman"/>
          <w:sz w:val="24"/>
          <w:szCs w:val="24"/>
        </w:rPr>
      </w:pPr>
    </w:p>
    <w:p w:rsidR="00507FFC" w:rsidRPr="00AF00C2" w:rsidRDefault="00507FFC" w:rsidP="001A252C">
      <w:pPr>
        <w:spacing w:after="0" w:line="480" w:lineRule="auto"/>
        <w:jc w:val="both"/>
        <w:rPr>
          <w:rFonts w:ascii="Times New Roman" w:hAnsi="Times New Roman"/>
          <w:sz w:val="24"/>
          <w:szCs w:val="24"/>
        </w:rPr>
      </w:pPr>
    </w:p>
    <w:p w:rsidR="00507FFC" w:rsidRPr="00AF00C2" w:rsidRDefault="00507FFC" w:rsidP="001A252C">
      <w:pPr>
        <w:spacing w:after="0" w:line="480" w:lineRule="auto"/>
        <w:jc w:val="both"/>
        <w:rPr>
          <w:rFonts w:ascii="Times New Roman" w:hAnsi="Times New Roman"/>
          <w:sz w:val="24"/>
          <w:szCs w:val="24"/>
        </w:rPr>
      </w:pPr>
    </w:p>
    <w:p w:rsidR="00507FFC" w:rsidRPr="00AF00C2" w:rsidRDefault="00507FFC" w:rsidP="001A252C">
      <w:pPr>
        <w:spacing w:after="0" w:line="480" w:lineRule="auto"/>
        <w:jc w:val="both"/>
        <w:rPr>
          <w:rFonts w:ascii="Times New Roman" w:hAnsi="Times New Roman"/>
          <w:sz w:val="24"/>
          <w:szCs w:val="24"/>
        </w:rPr>
      </w:pPr>
    </w:p>
    <w:p w:rsidR="00507FFC" w:rsidRPr="00AF00C2" w:rsidRDefault="00507FFC" w:rsidP="001A252C">
      <w:pPr>
        <w:spacing w:after="0" w:line="480" w:lineRule="auto"/>
        <w:jc w:val="both"/>
        <w:rPr>
          <w:rFonts w:ascii="Times New Roman" w:hAnsi="Times New Roman"/>
          <w:i/>
          <w:shd w:val="clear" w:color="auto" w:fill="FFFFFF"/>
        </w:rPr>
      </w:pPr>
    </w:p>
    <w:p w:rsidR="00507FFC" w:rsidRPr="00AF00C2" w:rsidRDefault="00507FFC" w:rsidP="00393ADD">
      <w:pPr>
        <w:pStyle w:val="Default"/>
        <w:spacing w:line="480" w:lineRule="auto"/>
        <w:jc w:val="both"/>
        <w:rPr>
          <w:rFonts w:ascii="Times New Roman" w:hAnsi="Times New Roman" w:cs="Times New Roman"/>
          <w:i/>
          <w:color w:val="auto"/>
          <w:shd w:val="clear" w:color="auto" w:fill="FFFFFF"/>
        </w:rPr>
      </w:pPr>
    </w:p>
    <w:p w:rsidR="00507FFC" w:rsidRPr="00AF00C2" w:rsidRDefault="00507FFC" w:rsidP="00393ADD">
      <w:pPr>
        <w:pStyle w:val="Default"/>
        <w:spacing w:line="480" w:lineRule="auto"/>
        <w:jc w:val="both"/>
        <w:rPr>
          <w:rFonts w:ascii="Times New Roman" w:hAnsi="Times New Roman" w:cs="Times New Roman"/>
          <w:i/>
          <w:color w:val="auto"/>
          <w:shd w:val="clear" w:color="auto" w:fill="FFFFFF"/>
        </w:rPr>
      </w:pPr>
    </w:p>
    <w:p w:rsidR="00507FFC" w:rsidRDefault="00507FFC" w:rsidP="00393ADD">
      <w:pPr>
        <w:pStyle w:val="Default"/>
        <w:spacing w:line="480" w:lineRule="auto"/>
        <w:jc w:val="both"/>
        <w:rPr>
          <w:rFonts w:ascii="Times New Roman" w:hAnsi="Times New Roman" w:cs="Times New Roman"/>
          <w:i/>
          <w:color w:val="auto"/>
          <w:shd w:val="clear" w:color="auto" w:fill="FFFFFF"/>
        </w:rPr>
      </w:pPr>
    </w:p>
    <w:p w:rsidR="00507FFC" w:rsidRDefault="00507FFC" w:rsidP="00393ADD">
      <w:pPr>
        <w:pStyle w:val="Default"/>
        <w:spacing w:line="480" w:lineRule="auto"/>
        <w:jc w:val="both"/>
        <w:rPr>
          <w:rFonts w:ascii="Times New Roman" w:hAnsi="Times New Roman" w:cs="Times New Roman"/>
          <w:i/>
          <w:color w:val="auto"/>
          <w:shd w:val="clear" w:color="auto" w:fill="FFFFFF"/>
        </w:rPr>
      </w:pPr>
    </w:p>
    <w:p w:rsidR="00507FFC" w:rsidRDefault="00507FFC" w:rsidP="00393ADD">
      <w:pPr>
        <w:pStyle w:val="Default"/>
        <w:spacing w:line="480" w:lineRule="auto"/>
        <w:jc w:val="both"/>
        <w:rPr>
          <w:rFonts w:ascii="Times New Roman" w:hAnsi="Times New Roman" w:cs="Times New Roman"/>
          <w:i/>
          <w:color w:val="auto"/>
          <w:shd w:val="clear" w:color="auto" w:fill="FFFFFF"/>
        </w:rPr>
      </w:pPr>
    </w:p>
    <w:p w:rsidR="00507FFC" w:rsidRDefault="00507FFC" w:rsidP="00393ADD">
      <w:pPr>
        <w:pStyle w:val="Default"/>
        <w:spacing w:line="480" w:lineRule="auto"/>
        <w:jc w:val="both"/>
        <w:rPr>
          <w:rFonts w:ascii="Times New Roman" w:hAnsi="Times New Roman" w:cs="Times New Roman"/>
          <w:i/>
          <w:color w:val="auto"/>
          <w:shd w:val="clear" w:color="auto" w:fill="FFFFFF"/>
        </w:rPr>
      </w:pPr>
    </w:p>
    <w:p w:rsidR="00507FFC" w:rsidRDefault="00507FFC" w:rsidP="00393ADD">
      <w:pPr>
        <w:pStyle w:val="Default"/>
        <w:spacing w:line="480" w:lineRule="auto"/>
        <w:jc w:val="both"/>
        <w:rPr>
          <w:rFonts w:ascii="Times New Roman" w:hAnsi="Times New Roman" w:cs="Times New Roman"/>
          <w:i/>
          <w:color w:val="auto"/>
          <w:shd w:val="clear" w:color="auto" w:fill="FFFFFF"/>
        </w:rPr>
      </w:pPr>
    </w:p>
    <w:p w:rsidR="00507FFC" w:rsidRDefault="00507FFC" w:rsidP="00393ADD">
      <w:pPr>
        <w:pStyle w:val="Default"/>
        <w:spacing w:line="480" w:lineRule="auto"/>
        <w:jc w:val="both"/>
        <w:rPr>
          <w:rFonts w:ascii="Times New Roman" w:hAnsi="Times New Roman" w:cs="Times New Roman"/>
          <w:i/>
          <w:color w:val="auto"/>
          <w:shd w:val="clear" w:color="auto" w:fill="FFFFFF"/>
        </w:rPr>
      </w:pPr>
    </w:p>
    <w:p w:rsidR="00507FFC" w:rsidRPr="00AF00C2" w:rsidRDefault="00507FFC" w:rsidP="00393ADD">
      <w:pPr>
        <w:pStyle w:val="Default"/>
        <w:spacing w:line="360" w:lineRule="auto"/>
        <w:rPr>
          <w:rFonts w:ascii="Times New Roman" w:hAnsi="Times New Roman" w:cs="Times New Roman"/>
          <w:b/>
          <w:color w:val="auto"/>
        </w:rPr>
      </w:pPr>
      <w:r w:rsidRPr="00AF00C2">
        <w:rPr>
          <w:rFonts w:ascii="Times New Roman" w:hAnsi="Times New Roman" w:cs="Times New Roman"/>
          <w:b/>
          <w:color w:val="auto"/>
        </w:rPr>
        <w:lastRenderedPageBreak/>
        <w:t xml:space="preserve">2. Ricognizione delle partecipazioni societarie </w:t>
      </w:r>
    </w:p>
    <w:p w:rsidR="00507FFC" w:rsidRPr="00AF00C2" w:rsidRDefault="00507FFC" w:rsidP="00E67038">
      <w:pPr>
        <w:pStyle w:val="Default"/>
        <w:rPr>
          <w:rFonts w:ascii="Times New Roman" w:hAnsi="Times New Roman" w:cs="Times New Roman"/>
          <w:b/>
          <w:color w:val="auto"/>
        </w:rPr>
      </w:pPr>
    </w:p>
    <w:p w:rsidR="00507FFC" w:rsidRPr="00AF00C2" w:rsidRDefault="00507FFC" w:rsidP="001F0F3A">
      <w:pPr>
        <w:pStyle w:val="Default"/>
        <w:spacing w:line="480" w:lineRule="auto"/>
        <w:rPr>
          <w:rFonts w:ascii="Times New Roman" w:hAnsi="Times New Roman" w:cs="Times New Roman"/>
          <w:b/>
          <w:color w:val="auto"/>
        </w:rPr>
      </w:pPr>
      <w:r w:rsidRPr="00AF00C2">
        <w:rPr>
          <w:rFonts w:ascii="Times New Roman" w:hAnsi="Times New Roman" w:cs="Times New Roman"/>
          <w:b/>
          <w:color w:val="auto"/>
        </w:rPr>
        <w:t>2.1 Partecipazioni dirette</w:t>
      </w:r>
    </w:p>
    <w:p w:rsidR="00507FFC" w:rsidRPr="00AF00C2" w:rsidRDefault="00507FFC" w:rsidP="001F0F3A">
      <w:pPr>
        <w:autoSpaceDE w:val="0"/>
        <w:autoSpaceDN w:val="0"/>
        <w:adjustRightInd w:val="0"/>
        <w:spacing w:after="0" w:line="480" w:lineRule="auto"/>
        <w:jc w:val="both"/>
        <w:rPr>
          <w:rFonts w:ascii="Times New Roman" w:hAnsi="Times New Roman"/>
          <w:sz w:val="24"/>
          <w:szCs w:val="24"/>
        </w:rPr>
      </w:pPr>
      <w:r w:rsidRPr="00AF00C2">
        <w:rPr>
          <w:rFonts w:ascii="Times New Roman" w:hAnsi="Times New Roman"/>
          <w:sz w:val="24"/>
          <w:szCs w:val="24"/>
        </w:rPr>
        <w:t>Il Comune di</w:t>
      </w:r>
      <w:r w:rsidR="003A4E99">
        <w:rPr>
          <w:rFonts w:ascii="Times New Roman" w:hAnsi="Times New Roman"/>
          <w:sz w:val="24"/>
          <w:szCs w:val="24"/>
        </w:rPr>
        <w:t xml:space="preserve"> Travacò Siccomario</w:t>
      </w:r>
      <w:r w:rsidRPr="00AF00C2">
        <w:rPr>
          <w:rFonts w:ascii="Times New Roman" w:hAnsi="Times New Roman"/>
          <w:sz w:val="24"/>
          <w:szCs w:val="24"/>
        </w:rPr>
        <w:t xml:space="preserve">, in esito all’attuazione dei piani di razionalizzazione approvati, detiene unicamente la partecipazione diretta in </w:t>
      </w:r>
      <w:r w:rsidRPr="00AF00C2">
        <w:rPr>
          <w:rFonts w:ascii="Times New Roman" w:hAnsi="Times New Roman"/>
          <w:sz w:val="24"/>
          <w:szCs w:val="24"/>
          <w:lang w:eastAsia="it-IT"/>
        </w:rPr>
        <w:t>ASM Pavia S.P.A. in quanto è</w:t>
      </w:r>
      <w:r w:rsidRPr="00AF00C2">
        <w:rPr>
          <w:rFonts w:ascii="Times New Roman" w:hAnsi="Times New Roman"/>
          <w:iCs/>
          <w:sz w:val="24"/>
          <w:szCs w:val="24"/>
        </w:rPr>
        <w:t xml:space="preserve"> stata considerata  indispensabile per il conseguimento delle finalità istituzionali, anche in base a quanto risulta, tra l’altro, dalle</w:t>
      </w:r>
      <w:r w:rsidRPr="00AF00C2">
        <w:rPr>
          <w:rFonts w:ascii="Times New Roman" w:hAnsi="Times New Roman"/>
          <w:sz w:val="24"/>
          <w:szCs w:val="24"/>
        </w:rPr>
        <w:t xml:space="preserve"> Linee di mandato, approvate dal Consiglio comunale con deliberazione 19/09/2024, n. 38 efficace ai sensi di legge, che prevedono la “</w:t>
      </w:r>
      <w:r w:rsidRPr="00AF00C2">
        <w:rPr>
          <w:rFonts w:ascii="Times New Roman" w:hAnsi="Times New Roman"/>
          <w:i/>
          <w:sz w:val="24"/>
          <w:szCs w:val="24"/>
        </w:rPr>
        <w:t>riorganizzazione di ASM con valorizzazione del personale interno e selezione di Management competente, che guidi la società in modo efficiente e trasparente raggiungendo gli obiettivi aziendali di interesse pubblico secondo la mission statutaria</w:t>
      </w:r>
      <w:r w:rsidRPr="00AF00C2">
        <w:rPr>
          <w:rFonts w:ascii="Times New Roman" w:hAnsi="Times New Roman"/>
          <w:sz w:val="24"/>
          <w:szCs w:val="24"/>
        </w:rPr>
        <w:t>”.</w:t>
      </w:r>
    </w:p>
    <w:tbl>
      <w:tblPr>
        <w:tblW w:w="0" w:type="auto"/>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ayout w:type="fixed"/>
        <w:tblLook w:val="00A0" w:firstRow="1" w:lastRow="0" w:firstColumn="1" w:lastColumn="0" w:noHBand="0" w:noVBand="0"/>
      </w:tblPr>
      <w:tblGrid>
        <w:gridCol w:w="4503"/>
        <w:gridCol w:w="1417"/>
        <w:gridCol w:w="1985"/>
        <w:gridCol w:w="1812"/>
      </w:tblGrid>
      <w:tr w:rsidR="00507FFC" w:rsidRPr="00AF00C2" w:rsidTr="00851A3D">
        <w:trPr>
          <w:trHeight w:val="610"/>
        </w:trPr>
        <w:tc>
          <w:tcPr>
            <w:tcW w:w="4503" w:type="dxa"/>
            <w:tcBorders>
              <w:top w:val="single" w:sz="4" w:space="0" w:color="FFFFFF"/>
              <w:left w:val="single" w:sz="4" w:space="0" w:color="FFFFFF"/>
              <w:bottom w:val="single" w:sz="4" w:space="0" w:color="FFFFFF"/>
              <w:right w:val="single" w:sz="4" w:space="0" w:color="FFFFFF"/>
            </w:tcBorders>
            <w:shd w:val="clear" w:color="auto" w:fill="002060"/>
            <w:vAlign w:val="center"/>
          </w:tcPr>
          <w:p w:rsidR="00507FFC" w:rsidRPr="00AF00C2" w:rsidRDefault="00507FFC" w:rsidP="00063DFA">
            <w:pPr>
              <w:spacing w:after="0" w:line="240" w:lineRule="auto"/>
              <w:jc w:val="center"/>
              <w:rPr>
                <w:rFonts w:ascii="Times New Roman" w:hAnsi="Times New Roman"/>
                <w:b/>
                <w:bCs/>
                <w:sz w:val="16"/>
                <w:szCs w:val="16"/>
                <w:lang w:eastAsia="ja-JP"/>
              </w:rPr>
            </w:pPr>
            <w:r w:rsidRPr="00AF00C2">
              <w:rPr>
                <w:rFonts w:ascii="Times New Roman" w:hAnsi="Times New Roman"/>
                <w:b/>
                <w:bCs/>
                <w:sz w:val="16"/>
                <w:szCs w:val="16"/>
                <w:lang w:eastAsia="ja-JP"/>
              </w:rPr>
              <w:t>NOME PARTECIPATA</w:t>
            </w:r>
          </w:p>
        </w:tc>
        <w:tc>
          <w:tcPr>
            <w:tcW w:w="1417" w:type="dxa"/>
            <w:tcBorders>
              <w:top w:val="single" w:sz="4" w:space="0" w:color="FFFFFF"/>
              <w:left w:val="single" w:sz="4" w:space="0" w:color="FFFFFF"/>
              <w:bottom w:val="single" w:sz="4" w:space="0" w:color="FFFFFF"/>
              <w:right w:val="single" w:sz="4" w:space="0" w:color="FFFFFF"/>
            </w:tcBorders>
            <w:shd w:val="clear" w:color="auto" w:fill="002060"/>
            <w:vAlign w:val="center"/>
          </w:tcPr>
          <w:p w:rsidR="00507FFC" w:rsidRPr="00AF00C2" w:rsidRDefault="00507FFC" w:rsidP="00063DFA">
            <w:pPr>
              <w:spacing w:after="0" w:line="240" w:lineRule="auto"/>
              <w:jc w:val="center"/>
              <w:rPr>
                <w:rFonts w:ascii="Times New Roman" w:hAnsi="Times New Roman"/>
                <w:b/>
                <w:bCs/>
                <w:sz w:val="16"/>
                <w:szCs w:val="16"/>
                <w:lang w:eastAsia="ja-JP"/>
              </w:rPr>
            </w:pPr>
            <w:r w:rsidRPr="00AF00C2">
              <w:rPr>
                <w:rFonts w:ascii="Times New Roman" w:hAnsi="Times New Roman"/>
                <w:b/>
                <w:bCs/>
                <w:sz w:val="16"/>
                <w:szCs w:val="16"/>
                <w:lang w:eastAsia="ja-JP"/>
              </w:rPr>
              <w:t>CODICE FISCALE</w:t>
            </w:r>
          </w:p>
        </w:tc>
        <w:tc>
          <w:tcPr>
            <w:tcW w:w="1985" w:type="dxa"/>
            <w:tcBorders>
              <w:top w:val="single" w:sz="4" w:space="0" w:color="FFFFFF"/>
              <w:left w:val="single" w:sz="4" w:space="0" w:color="FFFFFF"/>
              <w:bottom w:val="single" w:sz="4" w:space="0" w:color="FFFFFF"/>
              <w:right w:val="single" w:sz="4" w:space="0" w:color="FFFFFF"/>
            </w:tcBorders>
            <w:shd w:val="clear" w:color="auto" w:fill="002060"/>
            <w:vAlign w:val="center"/>
          </w:tcPr>
          <w:p w:rsidR="00507FFC" w:rsidRPr="00AF00C2" w:rsidRDefault="00507FFC" w:rsidP="00063DFA">
            <w:pPr>
              <w:spacing w:after="0" w:line="240" w:lineRule="auto"/>
              <w:jc w:val="center"/>
              <w:rPr>
                <w:rFonts w:ascii="Times New Roman" w:hAnsi="Times New Roman"/>
                <w:b/>
                <w:bCs/>
                <w:sz w:val="16"/>
                <w:szCs w:val="16"/>
                <w:lang w:eastAsia="ja-JP"/>
              </w:rPr>
            </w:pPr>
            <w:r w:rsidRPr="00AF00C2">
              <w:rPr>
                <w:rFonts w:ascii="Times New Roman" w:hAnsi="Times New Roman"/>
                <w:b/>
                <w:bCs/>
                <w:sz w:val="16"/>
                <w:szCs w:val="16"/>
                <w:lang w:eastAsia="ja-JP"/>
              </w:rPr>
              <w:t>QUOTA DI PARTECIPAZIONE</w:t>
            </w:r>
          </w:p>
        </w:tc>
        <w:tc>
          <w:tcPr>
            <w:tcW w:w="1812" w:type="dxa"/>
            <w:tcBorders>
              <w:top w:val="single" w:sz="4" w:space="0" w:color="FFFFFF"/>
              <w:left w:val="single" w:sz="4" w:space="0" w:color="FFFFFF"/>
              <w:bottom w:val="single" w:sz="4" w:space="0" w:color="FFFFFF"/>
              <w:right w:val="single" w:sz="4" w:space="0" w:color="FFFFFF"/>
            </w:tcBorders>
            <w:shd w:val="clear" w:color="auto" w:fill="002060"/>
            <w:vAlign w:val="center"/>
          </w:tcPr>
          <w:p w:rsidR="00507FFC" w:rsidRPr="00AF00C2" w:rsidRDefault="00507FFC" w:rsidP="00063DFA">
            <w:pPr>
              <w:spacing w:after="0" w:line="240" w:lineRule="auto"/>
              <w:jc w:val="center"/>
              <w:rPr>
                <w:rFonts w:ascii="Times New Roman" w:hAnsi="Times New Roman"/>
                <w:b/>
                <w:bCs/>
                <w:sz w:val="16"/>
                <w:szCs w:val="16"/>
                <w:lang w:eastAsia="ja-JP"/>
              </w:rPr>
            </w:pPr>
            <w:r w:rsidRPr="00AF00C2">
              <w:rPr>
                <w:rFonts w:ascii="Times New Roman" w:hAnsi="Times New Roman"/>
                <w:b/>
                <w:bCs/>
                <w:sz w:val="16"/>
                <w:szCs w:val="16"/>
                <w:lang w:eastAsia="ja-JP"/>
              </w:rPr>
              <w:t>ESITO DELLA RILEVAZIONE</w:t>
            </w:r>
          </w:p>
        </w:tc>
      </w:tr>
      <w:tr w:rsidR="00507FFC" w:rsidRPr="00AF00C2" w:rsidTr="00851A3D">
        <w:trPr>
          <w:trHeight w:val="669"/>
        </w:trPr>
        <w:tc>
          <w:tcPr>
            <w:tcW w:w="4503" w:type="dxa"/>
            <w:tcBorders>
              <w:top w:val="single" w:sz="4" w:space="0" w:color="FFFFFF"/>
            </w:tcBorders>
            <w:shd w:val="clear" w:color="auto" w:fill="D9E2F3"/>
            <w:vAlign w:val="center"/>
          </w:tcPr>
          <w:p w:rsidR="00507FFC" w:rsidRPr="00AF00C2" w:rsidRDefault="00507FFC" w:rsidP="00147263">
            <w:pPr>
              <w:spacing w:after="0" w:line="320" w:lineRule="exact"/>
              <w:jc w:val="both"/>
              <w:rPr>
                <w:rFonts w:ascii="Times New Roman" w:hAnsi="Times New Roman"/>
                <w:b/>
                <w:bCs/>
                <w:sz w:val="20"/>
                <w:szCs w:val="20"/>
                <w:lang w:eastAsia="ja-JP"/>
              </w:rPr>
            </w:pPr>
            <w:r w:rsidRPr="00AF00C2">
              <w:rPr>
                <w:rFonts w:ascii="Times New Roman" w:hAnsi="Times New Roman"/>
                <w:b/>
                <w:bCs/>
                <w:sz w:val="20"/>
                <w:szCs w:val="20"/>
                <w:lang w:eastAsia="it-IT"/>
              </w:rPr>
              <w:t>A.S.M. PAVIA S.P.A.</w:t>
            </w:r>
          </w:p>
        </w:tc>
        <w:tc>
          <w:tcPr>
            <w:tcW w:w="1417" w:type="dxa"/>
            <w:tcBorders>
              <w:top w:val="single" w:sz="4" w:space="0" w:color="FFFFFF"/>
            </w:tcBorders>
            <w:shd w:val="clear" w:color="auto" w:fill="D9E2F3"/>
            <w:vAlign w:val="center"/>
          </w:tcPr>
          <w:p w:rsidR="00507FFC" w:rsidRPr="00AF00C2" w:rsidRDefault="00507FFC" w:rsidP="00147263">
            <w:pPr>
              <w:spacing w:after="0" w:line="320" w:lineRule="exact"/>
              <w:jc w:val="center"/>
              <w:rPr>
                <w:rFonts w:ascii="Times New Roman" w:hAnsi="Times New Roman"/>
                <w:sz w:val="20"/>
                <w:szCs w:val="20"/>
                <w:lang w:eastAsia="ja-JP"/>
              </w:rPr>
            </w:pPr>
            <w:r w:rsidRPr="00AF00C2">
              <w:rPr>
                <w:rFonts w:ascii="Times New Roman" w:hAnsi="Times New Roman"/>
                <w:sz w:val="20"/>
                <w:szCs w:val="20"/>
                <w:lang w:eastAsia="it-IT"/>
              </w:rPr>
              <w:t>01747910188</w:t>
            </w:r>
          </w:p>
        </w:tc>
        <w:tc>
          <w:tcPr>
            <w:tcW w:w="1985" w:type="dxa"/>
            <w:tcBorders>
              <w:top w:val="single" w:sz="4" w:space="0" w:color="FFFFFF"/>
            </w:tcBorders>
            <w:shd w:val="clear" w:color="auto" w:fill="D9E2F3"/>
            <w:vAlign w:val="center"/>
          </w:tcPr>
          <w:p w:rsidR="00507FFC" w:rsidRPr="00AF00C2" w:rsidRDefault="00507FFC" w:rsidP="00147263">
            <w:pPr>
              <w:spacing w:after="0" w:line="320" w:lineRule="exact"/>
              <w:jc w:val="center"/>
              <w:rPr>
                <w:rFonts w:ascii="Times New Roman" w:hAnsi="Times New Roman"/>
                <w:sz w:val="20"/>
                <w:szCs w:val="20"/>
                <w:lang w:eastAsia="ja-JP"/>
              </w:rPr>
            </w:pPr>
            <w:r w:rsidRPr="00AF00C2">
              <w:rPr>
                <w:rFonts w:ascii="Times New Roman" w:hAnsi="Times New Roman"/>
                <w:sz w:val="20"/>
                <w:szCs w:val="20"/>
                <w:lang w:eastAsia="it-IT"/>
              </w:rPr>
              <w:t>95,73</w:t>
            </w:r>
          </w:p>
        </w:tc>
        <w:tc>
          <w:tcPr>
            <w:tcW w:w="1812" w:type="dxa"/>
            <w:tcBorders>
              <w:top w:val="single" w:sz="4" w:space="0" w:color="FFFFFF"/>
            </w:tcBorders>
            <w:shd w:val="clear" w:color="auto" w:fill="D9E2F3"/>
            <w:vAlign w:val="center"/>
          </w:tcPr>
          <w:p w:rsidR="00507FFC" w:rsidRPr="00AF00C2" w:rsidRDefault="00507FFC" w:rsidP="00147263">
            <w:pPr>
              <w:spacing w:after="0" w:line="320" w:lineRule="exact"/>
              <w:jc w:val="center"/>
              <w:rPr>
                <w:rFonts w:ascii="Times New Roman" w:hAnsi="Times New Roman"/>
                <w:sz w:val="20"/>
                <w:szCs w:val="20"/>
                <w:lang w:eastAsia="ja-JP"/>
              </w:rPr>
            </w:pPr>
            <w:r w:rsidRPr="00AF00C2">
              <w:rPr>
                <w:rFonts w:ascii="Times New Roman" w:hAnsi="Times New Roman"/>
                <w:sz w:val="20"/>
                <w:szCs w:val="20"/>
                <w:lang w:eastAsia="ja-JP"/>
              </w:rPr>
              <w:t>Mantenimento</w:t>
            </w:r>
          </w:p>
        </w:tc>
      </w:tr>
    </w:tbl>
    <w:p w:rsidR="00507FFC" w:rsidRPr="00AF00C2" w:rsidRDefault="00507FFC" w:rsidP="00E67038">
      <w:pPr>
        <w:pStyle w:val="Default"/>
        <w:ind w:left="567"/>
        <w:rPr>
          <w:rFonts w:ascii="Times New Roman" w:hAnsi="Times New Roman" w:cs="Times New Roman"/>
          <w:b/>
          <w:color w:val="auto"/>
        </w:rPr>
      </w:pPr>
    </w:p>
    <w:p w:rsidR="00507FFC" w:rsidRPr="00AF00C2" w:rsidRDefault="00507FFC" w:rsidP="00393ADD">
      <w:pPr>
        <w:pStyle w:val="Default"/>
        <w:spacing w:line="360" w:lineRule="auto"/>
        <w:rPr>
          <w:rFonts w:ascii="Times New Roman" w:hAnsi="Times New Roman" w:cs="Times New Roman"/>
          <w:b/>
          <w:color w:val="auto"/>
          <w:sz w:val="16"/>
          <w:szCs w:val="16"/>
        </w:rPr>
      </w:pPr>
    </w:p>
    <w:p w:rsidR="00507FFC" w:rsidRPr="00AF00C2" w:rsidRDefault="00507FFC" w:rsidP="00393ADD">
      <w:pPr>
        <w:pStyle w:val="Default"/>
        <w:spacing w:line="360" w:lineRule="auto"/>
        <w:rPr>
          <w:rFonts w:ascii="Times New Roman" w:hAnsi="Times New Roman" w:cs="Times New Roman"/>
          <w:b/>
          <w:color w:val="auto"/>
        </w:rPr>
      </w:pPr>
      <w:r w:rsidRPr="00AF00C2">
        <w:rPr>
          <w:rFonts w:ascii="Times New Roman" w:hAnsi="Times New Roman" w:cs="Times New Roman"/>
          <w:b/>
          <w:color w:val="auto"/>
        </w:rPr>
        <w:t xml:space="preserve">2.2 Partecipazioni indirette </w:t>
      </w:r>
      <w:r w:rsidRPr="00AF00C2">
        <w:rPr>
          <w:rFonts w:ascii="Times New Roman" w:hAnsi="Times New Roman" w:cs="Times New Roman"/>
          <w:b/>
          <w:color w:val="auto"/>
          <w:lang w:eastAsia="ja-JP"/>
        </w:rPr>
        <w:t xml:space="preserve">detenute attraverso </w:t>
      </w:r>
      <w:r w:rsidRPr="00AF00C2">
        <w:rPr>
          <w:rFonts w:ascii="Times New Roman" w:hAnsi="Times New Roman" w:cs="Times New Roman"/>
          <w:b/>
          <w:color w:val="auto"/>
        </w:rPr>
        <w:t>A.S.M. PAVIA S.P.A.</w:t>
      </w:r>
    </w:p>
    <w:p w:rsidR="00507FFC" w:rsidRPr="00AF00C2" w:rsidRDefault="00507FFC" w:rsidP="00393ADD">
      <w:pPr>
        <w:widowControl w:val="0"/>
        <w:spacing w:after="0" w:line="360" w:lineRule="auto"/>
        <w:jc w:val="both"/>
        <w:rPr>
          <w:rFonts w:ascii="Times New Roman" w:hAnsi="Times New Roman"/>
          <w:b/>
          <w:sz w:val="24"/>
          <w:szCs w:val="24"/>
          <w:u w:val="single"/>
          <w:lang w:eastAsia="it-IT"/>
        </w:rPr>
      </w:pPr>
      <w:r w:rsidRPr="00AF00C2">
        <w:rPr>
          <w:rFonts w:ascii="Times New Roman" w:hAnsi="Times New Roman"/>
          <w:sz w:val="24"/>
          <w:szCs w:val="24"/>
          <w:lang w:eastAsia="it-IT"/>
        </w:rPr>
        <w:t>A.S.M. PAVIA S.P.A. detiene le seguenti partecipazioni.</w:t>
      </w:r>
    </w:p>
    <w:tbl>
      <w:tblPr>
        <w:tblW w:w="0" w:type="auto"/>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0A0" w:firstRow="1" w:lastRow="0" w:firstColumn="1" w:lastColumn="0" w:noHBand="0" w:noVBand="0"/>
      </w:tblPr>
      <w:tblGrid>
        <w:gridCol w:w="453"/>
        <w:gridCol w:w="4151"/>
        <w:gridCol w:w="1316"/>
        <w:gridCol w:w="1985"/>
        <w:gridCol w:w="1662"/>
      </w:tblGrid>
      <w:tr w:rsidR="00507FFC" w:rsidRPr="00AF00C2" w:rsidTr="000F0759">
        <w:trPr>
          <w:trHeight w:val="916"/>
        </w:trPr>
        <w:tc>
          <w:tcPr>
            <w:tcW w:w="453" w:type="dxa"/>
            <w:tcBorders>
              <w:top w:val="single" w:sz="4" w:space="0" w:color="FFFFFF"/>
              <w:left w:val="single" w:sz="4" w:space="0" w:color="FFFFFF"/>
              <w:bottom w:val="single" w:sz="4" w:space="0" w:color="FFFFFF"/>
              <w:right w:val="single" w:sz="4" w:space="0" w:color="FFFFFF"/>
            </w:tcBorders>
            <w:shd w:val="clear" w:color="auto" w:fill="002060"/>
            <w:vAlign w:val="center"/>
          </w:tcPr>
          <w:p w:rsidR="00507FFC" w:rsidRPr="00AF00C2" w:rsidRDefault="00507FFC" w:rsidP="00147263">
            <w:pPr>
              <w:spacing w:after="0" w:line="320" w:lineRule="exact"/>
              <w:rPr>
                <w:rFonts w:ascii="Times New Roman" w:hAnsi="Times New Roman"/>
                <w:b/>
                <w:bCs/>
                <w:sz w:val="24"/>
                <w:szCs w:val="24"/>
                <w:lang w:eastAsia="ja-JP"/>
              </w:rPr>
            </w:pPr>
          </w:p>
        </w:tc>
        <w:tc>
          <w:tcPr>
            <w:tcW w:w="4151" w:type="dxa"/>
            <w:tcBorders>
              <w:top w:val="single" w:sz="4" w:space="0" w:color="FFFFFF"/>
              <w:left w:val="single" w:sz="4" w:space="0" w:color="FFFFFF"/>
              <w:bottom w:val="single" w:sz="4" w:space="0" w:color="FFFFFF"/>
              <w:right w:val="single" w:sz="4" w:space="0" w:color="FFFFFF"/>
            </w:tcBorders>
            <w:shd w:val="clear" w:color="auto" w:fill="002060"/>
            <w:vAlign w:val="center"/>
          </w:tcPr>
          <w:p w:rsidR="00507FFC" w:rsidRPr="00AF00C2" w:rsidRDefault="00507FFC" w:rsidP="00393ADD">
            <w:pPr>
              <w:spacing w:after="0" w:line="240" w:lineRule="auto"/>
              <w:jc w:val="center"/>
              <w:rPr>
                <w:rFonts w:ascii="Times New Roman" w:hAnsi="Times New Roman"/>
                <w:b/>
                <w:bCs/>
                <w:sz w:val="16"/>
                <w:szCs w:val="16"/>
                <w:lang w:eastAsia="ja-JP"/>
              </w:rPr>
            </w:pPr>
            <w:r w:rsidRPr="00AF00C2">
              <w:rPr>
                <w:rFonts w:ascii="Times New Roman" w:hAnsi="Times New Roman"/>
                <w:b/>
                <w:bCs/>
                <w:sz w:val="16"/>
                <w:szCs w:val="16"/>
                <w:lang w:eastAsia="ja-JP"/>
              </w:rPr>
              <w:t xml:space="preserve">NOME PARTECIPATA </w:t>
            </w:r>
          </w:p>
        </w:tc>
        <w:tc>
          <w:tcPr>
            <w:tcW w:w="1316" w:type="dxa"/>
            <w:tcBorders>
              <w:top w:val="single" w:sz="4" w:space="0" w:color="FFFFFF"/>
              <w:left w:val="single" w:sz="4" w:space="0" w:color="FFFFFF"/>
              <w:bottom w:val="single" w:sz="4" w:space="0" w:color="FFFFFF"/>
              <w:right w:val="single" w:sz="4" w:space="0" w:color="FFFFFF"/>
            </w:tcBorders>
            <w:shd w:val="clear" w:color="auto" w:fill="002060"/>
            <w:vAlign w:val="center"/>
          </w:tcPr>
          <w:p w:rsidR="00507FFC" w:rsidRPr="00AF00C2" w:rsidRDefault="00507FFC" w:rsidP="00393ADD">
            <w:pPr>
              <w:spacing w:after="0" w:line="240" w:lineRule="auto"/>
              <w:jc w:val="center"/>
              <w:rPr>
                <w:rFonts w:ascii="Times New Roman" w:hAnsi="Times New Roman"/>
                <w:b/>
                <w:bCs/>
                <w:sz w:val="16"/>
                <w:szCs w:val="16"/>
                <w:lang w:eastAsia="ja-JP"/>
              </w:rPr>
            </w:pPr>
            <w:r w:rsidRPr="00AF00C2">
              <w:rPr>
                <w:rFonts w:ascii="Times New Roman" w:hAnsi="Times New Roman"/>
                <w:b/>
                <w:bCs/>
                <w:sz w:val="16"/>
                <w:szCs w:val="16"/>
                <w:lang w:eastAsia="ja-JP"/>
              </w:rPr>
              <w:t xml:space="preserve">CODICE FISCALE </w:t>
            </w:r>
          </w:p>
        </w:tc>
        <w:tc>
          <w:tcPr>
            <w:tcW w:w="1985" w:type="dxa"/>
            <w:tcBorders>
              <w:top w:val="single" w:sz="4" w:space="0" w:color="FFFFFF"/>
              <w:left w:val="single" w:sz="4" w:space="0" w:color="FFFFFF"/>
              <w:bottom w:val="single" w:sz="4" w:space="0" w:color="FFFFFF"/>
              <w:right w:val="single" w:sz="4" w:space="0" w:color="FFFFFF"/>
            </w:tcBorders>
            <w:shd w:val="clear" w:color="auto" w:fill="002060"/>
            <w:vAlign w:val="center"/>
          </w:tcPr>
          <w:p w:rsidR="00507FFC" w:rsidRPr="00AF00C2" w:rsidRDefault="00507FFC" w:rsidP="00393ADD">
            <w:pPr>
              <w:spacing w:after="0" w:line="240" w:lineRule="auto"/>
              <w:jc w:val="center"/>
              <w:rPr>
                <w:rFonts w:ascii="Times New Roman" w:hAnsi="Times New Roman"/>
                <w:b/>
                <w:bCs/>
                <w:sz w:val="16"/>
                <w:szCs w:val="16"/>
                <w:lang w:eastAsia="ja-JP"/>
              </w:rPr>
            </w:pPr>
            <w:r w:rsidRPr="00AF00C2">
              <w:rPr>
                <w:rFonts w:ascii="Times New Roman" w:hAnsi="Times New Roman"/>
                <w:b/>
                <w:bCs/>
                <w:sz w:val="16"/>
                <w:szCs w:val="16"/>
                <w:lang w:eastAsia="ja-JP"/>
              </w:rPr>
              <w:t>QUOTA DI PARTECIPAZIONE DETENUTA DALLA TRAMITE</w:t>
            </w:r>
          </w:p>
        </w:tc>
        <w:tc>
          <w:tcPr>
            <w:tcW w:w="1662" w:type="dxa"/>
            <w:tcBorders>
              <w:top w:val="single" w:sz="4" w:space="0" w:color="FFFFFF"/>
              <w:left w:val="single" w:sz="4" w:space="0" w:color="FFFFFF"/>
              <w:bottom w:val="single" w:sz="4" w:space="0" w:color="FFFFFF"/>
              <w:right w:val="single" w:sz="4" w:space="0" w:color="FFFFFF"/>
            </w:tcBorders>
            <w:shd w:val="clear" w:color="auto" w:fill="002060"/>
            <w:vAlign w:val="center"/>
          </w:tcPr>
          <w:p w:rsidR="00507FFC" w:rsidRPr="00AF00C2" w:rsidRDefault="00507FFC" w:rsidP="00393ADD">
            <w:pPr>
              <w:spacing w:after="0" w:line="240" w:lineRule="auto"/>
              <w:jc w:val="center"/>
              <w:rPr>
                <w:rFonts w:ascii="Times New Roman" w:hAnsi="Times New Roman"/>
                <w:b/>
                <w:bCs/>
                <w:sz w:val="16"/>
                <w:szCs w:val="16"/>
                <w:lang w:eastAsia="ja-JP"/>
              </w:rPr>
            </w:pPr>
            <w:r w:rsidRPr="00AF00C2">
              <w:rPr>
                <w:rFonts w:ascii="Times New Roman" w:hAnsi="Times New Roman"/>
                <w:b/>
                <w:bCs/>
                <w:sz w:val="16"/>
                <w:szCs w:val="16"/>
                <w:lang w:eastAsia="ja-JP"/>
              </w:rPr>
              <w:t>ESITO DELLA RILEVAZIONE</w:t>
            </w:r>
          </w:p>
        </w:tc>
      </w:tr>
      <w:tr w:rsidR="00507FFC" w:rsidRPr="00AF00C2" w:rsidTr="000F0759">
        <w:trPr>
          <w:trHeight w:val="603"/>
        </w:trPr>
        <w:tc>
          <w:tcPr>
            <w:tcW w:w="453" w:type="dxa"/>
            <w:shd w:val="clear" w:color="auto" w:fill="D9E2F3"/>
            <w:vAlign w:val="center"/>
          </w:tcPr>
          <w:p w:rsidR="00507FFC" w:rsidRPr="00AF00C2" w:rsidRDefault="00507FFC" w:rsidP="00147263">
            <w:pPr>
              <w:spacing w:after="0" w:line="320" w:lineRule="exact"/>
              <w:rPr>
                <w:rFonts w:ascii="Times New Roman" w:hAnsi="Times New Roman"/>
                <w:b/>
                <w:bCs/>
                <w:sz w:val="20"/>
                <w:szCs w:val="20"/>
                <w:lang w:eastAsia="ja-JP"/>
              </w:rPr>
            </w:pPr>
            <w:r>
              <w:rPr>
                <w:rFonts w:ascii="Times New Roman" w:hAnsi="Times New Roman"/>
                <w:b/>
                <w:bCs/>
                <w:sz w:val="20"/>
                <w:szCs w:val="20"/>
                <w:lang w:eastAsia="ja-JP"/>
              </w:rPr>
              <w:t>1</w:t>
            </w:r>
          </w:p>
        </w:tc>
        <w:tc>
          <w:tcPr>
            <w:tcW w:w="4151" w:type="dxa"/>
            <w:vAlign w:val="center"/>
          </w:tcPr>
          <w:p w:rsidR="00507FFC" w:rsidRPr="00AF00C2" w:rsidRDefault="00507FFC" w:rsidP="00147263">
            <w:pPr>
              <w:spacing w:after="0" w:line="320" w:lineRule="exact"/>
              <w:jc w:val="both"/>
              <w:rPr>
                <w:rFonts w:ascii="Times New Roman" w:hAnsi="Times New Roman"/>
                <w:b/>
                <w:sz w:val="18"/>
                <w:szCs w:val="18"/>
                <w:lang w:eastAsia="ja-JP"/>
              </w:rPr>
            </w:pPr>
            <w:r w:rsidRPr="00AF00C2">
              <w:rPr>
                <w:rFonts w:ascii="Times New Roman" w:hAnsi="Times New Roman"/>
                <w:b/>
                <w:sz w:val="18"/>
                <w:szCs w:val="18"/>
                <w:lang w:eastAsia="ja-JP"/>
              </w:rPr>
              <w:t>PAVIA ACQUE  S.C.A.R.L.</w:t>
            </w:r>
          </w:p>
        </w:tc>
        <w:tc>
          <w:tcPr>
            <w:tcW w:w="1316" w:type="dxa"/>
            <w:vAlign w:val="center"/>
          </w:tcPr>
          <w:p w:rsidR="00507FFC" w:rsidRPr="00AF00C2" w:rsidRDefault="00507FFC" w:rsidP="00147263">
            <w:pPr>
              <w:spacing w:after="0" w:line="320" w:lineRule="exact"/>
              <w:jc w:val="both"/>
              <w:rPr>
                <w:rFonts w:ascii="Times New Roman" w:hAnsi="Times New Roman"/>
                <w:sz w:val="20"/>
                <w:szCs w:val="20"/>
                <w:lang w:eastAsia="ja-JP"/>
              </w:rPr>
            </w:pPr>
            <w:r w:rsidRPr="00AF00C2">
              <w:rPr>
                <w:rFonts w:ascii="Times New Roman" w:hAnsi="Times New Roman"/>
                <w:sz w:val="20"/>
                <w:szCs w:val="20"/>
                <w:lang w:eastAsia="ja-JP"/>
              </w:rPr>
              <w:t>02234900187</w:t>
            </w:r>
          </w:p>
        </w:tc>
        <w:tc>
          <w:tcPr>
            <w:tcW w:w="1985" w:type="dxa"/>
            <w:vAlign w:val="center"/>
          </w:tcPr>
          <w:p w:rsidR="00507FFC" w:rsidRPr="00AF00C2" w:rsidRDefault="00507FFC" w:rsidP="00147263">
            <w:pPr>
              <w:spacing w:after="0" w:line="320" w:lineRule="exact"/>
              <w:jc w:val="center"/>
              <w:rPr>
                <w:rFonts w:ascii="Times New Roman" w:hAnsi="Times New Roman"/>
                <w:sz w:val="20"/>
                <w:szCs w:val="20"/>
                <w:lang w:eastAsia="ja-JP"/>
              </w:rPr>
            </w:pPr>
            <w:r w:rsidRPr="00AF00C2">
              <w:rPr>
                <w:rFonts w:ascii="Times New Roman" w:hAnsi="Times New Roman"/>
                <w:sz w:val="20"/>
                <w:szCs w:val="20"/>
                <w:lang w:eastAsia="ja-JP"/>
              </w:rPr>
              <w:t>19</w:t>
            </w:r>
          </w:p>
        </w:tc>
        <w:tc>
          <w:tcPr>
            <w:tcW w:w="1662" w:type="dxa"/>
            <w:vAlign w:val="center"/>
          </w:tcPr>
          <w:p w:rsidR="00507FFC" w:rsidRPr="00AF00C2" w:rsidRDefault="00507FFC" w:rsidP="00147263">
            <w:pPr>
              <w:spacing w:after="0" w:line="320" w:lineRule="exact"/>
              <w:jc w:val="both"/>
              <w:rPr>
                <w:rFonts w:ascii="Times New Roman" w:hAnsi="Times New Roman"/>
                <w:sz w:val="20"/>
                <w:szCs w:val="20"/>
                <w:lang w:eastAsia="ja-JP"/>
              </w:rPr>
            </w:pPr>
            <w:r w:rsidRPr="00AF00C2">
              <w:rPr>
                <w:rFonts w:ascii="Times New Roman" w:hAnsi="Times New Roman"/>
                <w:sz w:val="20"/>
                <w:szCs w:val="20"/>
                <w:lang w:eastAsia="ja-JP"/>
              </w:rPr>
              <w:t>mantenimento</w:t>
            </w:r>
          </w:p>
        </w:tc>
      </w:tr>
      <w:tr w:rsidR="00507FFC" w:rsidRPr="00AF00C2" w:rsidTr="000F0759">
        <w:trPr>
          <w:trHeight w:val="603"/>
        </w:trPr>
        <w:tc>
          <w:tcPr>
            <w:tcW w:w="453" w:type="dxa"/>
            <w:vAlign w:val="center"/>
          </w:tcPr>
          <w:p w:rsidR="00507FFC" w:rsidRPr="00AF00C2" w:rsidRDefault="00507FFC" w:rsidP="00147263">
            <w:pPr>
              <w:spacing w:after="0" w:line="320" w:lineRule="exact"/>
              <w:rPr>
                <w:rFonts w:ascii="Times New Roman" w:hAnsi="Times New Roman"/>
                <w:b/>
                <w:bCs/>
                <w:sz w:val="20"/>
                <w:szCs w:val="20"/>
                <w:lang w:eastAsia="ja-JP"/>
              </w:rPr>
            </w:pPr>
            <w:r>
              <w:rPr>
                <w:rFonts w:ascii="Times New Roman" w:hAnsi="Times New Roman"/>
                <w:b/>
                <w:bCs/>
                <w:sz w:val="20"/>
                <w:szCs w:val="20"/>
                <w:lang w:eastAsia="ja-JP"/>
              </w:rPr>
              <w:t>2</w:t>
            </w:r>
          </w:p>
        </w:tc>
        <w:tc>
          <w:tcPr>
            <w:tcW w:w="4151" w:type="dxa"/>
            <w:vAlign w:val="center"/>
          </w:tcPr>
          <w:p w:rsidR="00507FFC" w:rsidRPr="00AF00C2" w:rsidRDefault="00507FFC" w:rsidP="00147263">
            <w:pPr>
              <w:spacing w:after="0" w:line="320" w:lineRule="exact"/>
              <w:jc w:val="both"/>
              <w:rPr>
                <w:rFonts w:ascii="Times New Roman" w:hAnsi="Times New Roman"/>
                <w:b/>
                <w:sz w:val="18"/>
                <w:szCs w:val="18"/>
                <w:lang w:eastAsia="ja-JP"/>
              </w:rPr>
            </w:pPr>
            <w:r w:rsidRPr="00AF00C2">
              <w:rPr>
                <w:rFonts w:ascii="Times New Roman" w:hAnsi="Times New Roman"/>
                <w:b/>
                <w:sz w:val="18"/>
                <w:szCs w:val="18"/>
                <w:lang w:eastAsia="ja-JP"/>
              </w:rPr>
              <w:t>A2A S.P.A.</w:t>
            </w:r>
          </w:p>
        </w:tc>
        <w:tc>
          <w:tcPr>
            <w:tcW w:w="1316" w:type="dxa"/>
            <w:vAlign w:val="center"/>
          </w:tcPr>
          <w:p w:rsidR="00507FFC" w:rsidRPr="00AF00C2" w:rsidRDefault="00507FFC" w:rsidP="00147263">
            <w:pPr>
              <w:spacing w:after="0" w:line="320" w:lineRule="exact"/>
              <w:jc w:val="both"/>
              <w:rPr>
                <w:rFonts w:ascii="Times New Roman" w:hAnsi="Times New Roman"/>
                <w:sz w:val="20"/>
                <w:szCs w:val="20"/>
                <w:lang w:eastAsia="ja-JP"/>
              </w:rPr>
            </w:pPr>
            <w:r w:rsidRPr="00AF00C2">
              <w:rPr>
                <w:rFonts w:ascii="Times New Roman" w:hAnsi="Times New Roman"/>
                <w:sz w:val="20"/>
                <w:szCs w:val="20"/>
                <w:lang w:eastAsia="ja-JP"/>
              </w:rPr>
              <w:t>11957540153</w:t>
            </w:r>
          </w:p>
        </w:tc>
        <w:tc>
          <w:tcPr>
            <w:tcW w:w="1985" w:type="dxa"/>
            <w:vAlign w:val="center"/>
          </w:tcPr>
          <w:p w:rsidR="00507FFC" w:rsidRPr="00AF00C2" w:rsidRDefault="00507FFC" w:rsidP="00147263">
            <w:pPr>
              <w:spacing w:after="0" w:line="320" w:lineRule="exact"/>
              <w:jc w:val="center"/>
              <w:rPr>
                <w:rFonts w:ascii="Times New Roman" w:hAnsi="Times New Roman"/>
                <w:sz w:val="20"/>
                <w:szCs w:val="20"/>
                <w:lang w:eastAsia="ja-JP"/>
              </w:rPr>
            </w:pPr>
            <w:r w:rsidRPr="00AF00C2">
              <w:rPr>
                <w:rFonts w:ascii="Times New Roman" w:hAnsi="Times New Roman"/>
                <w:sz w:val="20"/>
                <w:szCs w:val="20"/>
                <w:lang w:eastAsia="ja-JP"/>
              </w:rPr>
              <w:t>0,643</w:t>
            </w:r>
          </w:p>
        </w:tc>
        <w:tc>
          <w:tcPr>
            <w:tcW w:w="1662" w:type="dxa"/>
            <w:vAlign w:val="center"/>
          </w:tcPr>
          <w:p w:rsidR="00507FFC" w:rsidRPr="00AF00C2" w:rsidRDefault="00507FFC" w:rsidP="00147263">
            <w:pPr>
              <w:spacing w:after="0" w:line="320" w:lineRule="exact"/>
              <w:jc w:val="both"/>
              <w:rPr>
                <w:rFonts w:ascii="Times New Roman" w:hAnsi="Times New Roman"/>
                <w:sz w:val="20"/>
                <w:szCs w:val="20"/>
                <w:lang w:eastAsia="ja-JP"/>
              </w:rPr>
            </w:pPr>
            <w:r w:rsidRPr="00AF00C2">
              <w:rPr>
                <w:rFonts w:ascii="Times New Roman" w:hAnsi="Times New Roman"/>
                <w:sz w:val="20"/>
                <w:szCs w:val="20"/>
                <w:lang w:eastAsia="ja-JP"/>
              </w:rPr>
              <w:t>mantenimento</w:t>
            </w:r>
          </w:p>
        </w:tc>
      </w:tr>
    </w:tbl>
    <w:p w:rsidR="00507FFC" w:rsidRDefault="00507FFC" w:rsidP="00830D06">
      <w:pPr>
        <w:pStyle w:val="Default"/>
        <w:spacing w:line="480" w:lineRule="auto"/>
        <w:rPr>
          <w:rFonts w:ascii="Times New Roman" w:hAnsi="Times New Roman" w:cs="Times New Roman"/>
          <w:b/>
          <w:color w:val="auto"/>
        </w:rPr>
      </w:pPr>
    </w:p>
    <w:p w:rsidR="00507FFC" w:rsidRPr="007C273E" w:rsidRDefault="00507FFC" w:rsidP="00E401CB">
      <w:pPr>
        <w:autoSpaceDE w:val="0"/>
        <w:autoSpaceDN w:val="0"/>
        <w:adjustRightInd w:val="0"/>
        <w:spacing w:after="0" w:line="480" w:lineRule="auto"/>
        <w:jc w:val="both"/>
        <w:rPr>
          <w:rFonts w:ascii="Times New Roman" w:hAnsi="Times New Roman"/>
          <w:sz w:val="24"/>
          <w:szCs w:val="24"/>
        </w:rPr>
      </w:pPr>
      <w:r w:rsidRPr="007C273E">
        <w:rPr>
          <w:rFonts w:ascii="Times New Roman" w:hAnsi="Times New Roman"/>
          <w:sz w:val="24"/>
          <w:szCs w:val="24"/>
        </w:rPr>
        <w:t>Si precisa che in attuazione degli indirizzi definiti nel piano di razionalizzazione approvato con deliberazione del Consiglio comunale 27/12/2024, n. 61, efficace ai sensi di legge, la società Technostone s.r.l. è stata fusa per incorporazione nella controllante ASM Pavia spa con effetti civilistici decorrenti dal 08/10/2025, e la società A2E Servizi srl risulta essere stata cancellata dal registro imprese con efficacia dal 07/04/2025 a seguito della conclusione della procedura di liquidazione.</w:t>
      </w:r>
    </w:p>
    <w:p w:rsidR="00507FFC" w:rsidRDefault="00507FFC" w:rsidP="00830D06">
      <w:pPr>
        <w:pStyle w:val="Default"/>
        <w:spacing w:line="480" w:lineRule="auto"/>
        <w:rPr>
          <w:rFonts w:ascii="Times New Roman" w:hAnsi="Times New Roman" w:cs="Times New Roman"/>
          <w:b/>
          <w:color w:val="auto"/>
        </w:rPr>
      </w:pPr>
    </w:p>
    <w:p w:rsidR="00507FFC" w:rsidRPr="00AF00C2" w:rsidRDefault="00507FFC" w:rsidP="00830D06">
      <w:pPr>
        <w:pStyle w:val="Default"/>
        <w:spacing w:line="480" w:lineRule="auto"/>
        <w:rPr>
          <w:color w:val="auto"/>
        </w:rPr>
      </w:pPr>
      <w:r w:rsidRPr="00AF00C2">
        <w:rPr>
          <w:rFonts w:ascii="Times New Roman" w:hAnsi="Times New Roman" w:cs="Times New Roman"/>
          <w:b/>
          <w:color w:val="auto"/>
        </w:rPr>
        <w:lastRenderedPageBreak/>
        <w:t>2.3 Rappresentazione grafica</w:t>
      </w:r>
      <w:r w:rsidRPr="00AF00C2">
        <w:rPr>
          <w:color w:val="auto"/>
        </w:rPr>
        <w:t xml:space="preserve">           </w:t>
      </w:r>
    </w:p>
    <w:p w:rsidR="00507FFC" w:rsidRPr="00AF00C2" w:rsidRDefault="00507FFC" w:rsidP="00830D06">
      <w:pPr>
        <w:pStyle w:val="Default"/>
        <w:spacing w:line="480" w:lineRule="auto"/>
        <w:rPr>
          <w:color w:val="auto"/>
        </w:rPr>
      </w:pPr>
    </w:p>
    <w:p w:rsidR="00507FFC" w:rsidRPr="00AF00C2" w:rsidRDefault="00CF39A8" w:rsidP="00830D06">
      <w:pPr>
        <w:pStyle w:val="Default"/>
        <w:spacing w:line="480" w:lineRule="auto"/>
        <w:rPr>
          <w:color w:val="auto"/>
        </w:rPr>
      </w:pPr>
      <w:r>
        <w:rPr>
          <w:noProof/>
        </w:rPr>
        <mc:AlternateContent>
          <mc:Choice Requires="wps">
            <w:drawing>
              <wp:anchor distT="0" distB="0" distL="114300" distR="114300" simplePos="0" relativeHeight="251651584" behindDoc="0" locked="0" layoutInCell="1" allowOverlap="1">
                <wp:simplePos x="0" y="0"/>
                <wp:positionH relativeFrom="column">
                  <wp:posOffset>1959610</wp:posOffset>
                </wp:positionH>
                <wp:positionV relativeFrom="paragraph">
                  <wp:posOffset>247015</wp:posOffset>
                </wp:positionV>
                <wp:extent cx="2526665" cy="762635"/>
                <wp:effectExtent l="0" t="0" r="26035" b="18415"/>
                <wp:wrapNone/>
                <wp:docPr id="16" name="Rettangolo arrotondat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6665" cy="762635"/>
                        </a:xfrm>
                        <a:prstGeom prst="roundRect">
                          <a:avLst>
                            <a:gd name="adj" fmla="val 16667"/>
                          </a:avLst>
                        </a:prstGeom>
                        <a:solidFill>
                          <a:srgbClr val="4F81BD"/>
                        </a:solidFill>
                        <a:ln w="25400">
                          <a:solidFill>
                            <a:srgbClr val="243F60"/>
                          </a:solidFill>
                          <a:round/>
                          <a:headEnd/>
                          <a:tailEnd/>
                        </a:ln>
                      </wps:spPr>
                      <wps:txbx>
                        <w:txbxContent>
                          <w:p w:rsidR="00507FFC" w:rsidRPr="00703A4F" w:rsidRDefault="00507FFC" w:rsidP="00E67038">
                            <w:pPr>
                              <w:jc w:val="center"/>
                              <w:rPr>
                                <w:b/>
                                <w:sz w:val="36"/>
                                <w:szCs w:val="36"/>
                              </w:rPr>
                            </w:pPr>
                            <w:r w:rsidRPr="00703A4F">
                              <w:rPr>
                                <w:b/>
                                <w:sz w:val="36"/>
                                <w:szCs w:val="36"/>
                              </w:rPr>
                              <w:t xml:space="preserve">COMUNE DI </w:t>
                            </w:r>
                            <w:r w:rsidR="003A4E99">
                              <w:rPr>
                                <w:b/>
                                <w:sz w:val="36"/>
                                <w:szCs w:val="36"/>
                              </w:rPr>
                              <w:t>TRAVACO’ SICCOMARIO</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Rettangolo arrotondato 3" o:spid="_x0000_s1026" style="position:absolute;margin-left:154.3pt;margin-top:19.45pt;width:198.95pt;height:60.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fo5RQIAAHwEAAAOAAAAZHJzL2Uyb0RvYy54bWysVFFv0zAQfkfiP1h+Z2nSNhvR0ml0FCEN&#10;mDb4Aa7tNAbHZ85u0+3Xc3Gz0cIb4sXy5e6+u/u+cy6v9p1lO43BgKt5fjbhTDsJyrhNzb99Xb25&#10;4CxE4ZSw4HTNH3XgV4vXry57X+kCWrBKIyMQF6re17yN0VdZFmSrOxHOwGtHzgawE5FM3GQKRU/o&#10;nc2KyaTMekDlEaQOgb7eHJx8kfCbRsv4pWmCjszWnHqL6cR0roczW1yKaoPCt0aObYh/6KITxlHR&#10;F6gbEQXbovkLqjMSIUATzyR0GTSNkTrNQNPkkz+meWiF12kWIif4F5rC/4OVn3d3yIwi7UrOnOhI&#10;o3sdSbENWGACESKQehHYdCCr96GinAd/h8O4wd+C/BGYg2VLKfqa4vtWC0Ut5kN8dpIwGIFS2br/&#10;BIpKiW2ExNu+wW4AJEbYPsnz+CKP3kcm6WMxL8qynHMmyXdeFuV0nkqI6jnbY4gfNHRsuNQcYevU&#10;Pe1AKiF2tyEmjdQ4qFDfOWs6S4rvhGU5oZ+PiGNwJqpnzDQuWKNWxtpk4Ga9tMgoteaz1UX+7mZM&#10;Dsdh1rF+6H02maQ2TpzhGKOYTVdlWkkqexKWBkmrOnD73ql0j8LYw53irRvJHvg96BT36/0o2RrU&#10;I9FOYiZu6cHSpQV84qyn5a95+LkVqDmzHx1J9zafzYbXkozZ/LwgA48962OPcJKgai4jcnYwlvHw&#10;xrYezaalWnma3cE1Cd6Y+LwZh77GzmnF6Xbyho7tFPX7p7H4BQAA//8DAFBLAwQUAAYACAAAACEA&#10;G5lz+OEAAAAKAQAADwAAAGRycy9kb3ducmV2LnhtbEyPTUvDQBCG74L/YRnBm921JTFNsylFEAWl&#10;2Fbwus1Ok+h+xOw2if/e8aS3Gebhnect1pM1bMA+tN5JuJ0JYOgqr1tXS3g7PNxkwEJUTivjHUr4&#10;xgDr8vKiULn2o9vhsI81oxAXciWhibHLOQ9Vg1aFme/Q0e3ke6sirX3Nda9GCreGz4VIuVWtow+N&#10;6vC+wepzf7YShvevxdOmeX18+TiMz2ZbJ/PdtpPy+mrarIBFnOIfDL/6pA4lOR392enAjISFyFJC&#10;aciWwAi4E2kC7EhkshTAy4L/r1D+AAAA//8DAFBLAQItABQABgAIAAAAIQC2gziS/gAAAOEBAAAT&#10;AAAAAAAAAAAAAAAAAAAAAABbQ29udGVudF9UeXBlc10ueG1sUEsBAi0AFAAGAAgAAAAhADj9If/W&#10;AAAAlAEAAAsAAAAAAAAAAAAAAAAALwEAAF9yZWxzLy5yZWxzUEsBAi0AFAAGAAgAAAAhAOTx+jlF&#10;AgAAfAQAAA4AAAAAAAAAAAAAAAAALgIAAGRycy9lMm9Eb2MueG1sUEsBAi0AFAAGAAgAAAAhABuZ&#10;c/jhAAAACgEAAA8AAAAAAAAAAAAAAAAAnwQAAGRycy9kb3ducmV2LnhtbFBLBQYAAAAABAAEAPMA&#10;AACtBQAAAAA=&#10;" fillcolor="#4f81bd" strokecolor="#243f60" strokeweight="2pt">
                <v:textbox>
                  <w:txbxContent>
                    <w:p w:rsidR="00507FFC" w:rsidRPr="00703A4F" w:rsidRDefault="00507FFC" w:rsidP="00E67038">
                      <w:pPr>
                        <w:jc w:val="center"/>
                        <w:rPr>
                          <w:b/>
                          <w:sz w:val="36"/>
                          <w:szCs w:val="36"/>
                        </w:rPr>
                      </w:pPr>
                      <w:r w:rsidRPr="00703A4F">
                        <w:rPr>
                          <w:b/>
                          <w:sz w:val="36"/>
                          <w:szCs w:val="36"/>
                        </w:rPr>
                        <w:t xml:space="preserve">COMUNE DI </w:t>
                      </w:r>
                      <w:r w:rsidR="003A4E99">
                        <w:rPr>
                          <w:b/>
                          <w:sz w:val="36"/>
                          <w:szCs w:val="36"/>
                        </w:rPr>
                        <w:t>TRAVACO’ SICCOMARIO</w:t>
                      </w:r>
                    </w:p>
                  </w:txbxContent>
                </v:textbox>
              </v:roundrect>
            </w:pict>
          </mc:Fallback>
        </mc:AlternateContent>
      </w:r>
    </w:p>
    <w:p w:rsidR="00507FFC" w:rsidRPr="00AF00C2" w:rsidRDefault="00507FFC" w:rsidP="00E67038"/>
    <w:p w:rsidR="00507FFC" w:rsidRPr="00AF00C2" w:rsidRDefault="00CF39A8" w:rsidP="00E67038">
      <w:r>
        <w:rPr>
          <w:noProof/>
          <w:lang w:eastAsia="it-IT"/>
        </w:rPr>
        <mc:AlternateContent>
          <mc:Choice Requires="wps">
            <w:drawing>
              <wp:anchor distT="0" distB="0" distL="114297" distR="114297" simplePos="0" relativeHeight="251659776" behindDoc="0" locked="0" layoutInCell="1" allowOverlap="1">
                <wp:simplePos x="0" y="0"/>
                <wp:positionH relativeFrom="column">
                  <wp:posOffset>3284854</wp:posOffset>
                </wp:positionH>
                <wp:positionV relativeFrom="paragraph">
                  <wp:posOffset>306705</wp:posOffset>
                </wp:positionV>
                <wp:extent cx="0" cy="770890"/>
                <wp:effectExtent l="0" t="0" r="19050" b="10160"/>
                <wp:wrapNone/>
                <wp:docPr id="15" name="Connettore 1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70890"/>
                        </a:xfrm>
                        <a:prstGeom prst="line">
                          <a:avLst/>
                        </a:prstGeom>
                        <a:noFill/>
                        <a:ln w="19050"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Connettore 1 4" o:spid="_x0000_s1026" style="position:absolute;z-index:25165977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58.65pt,24.15pt" to="258.65pt,8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MOk3QEAAK0DAAAOAAAAZHJzL2Uyb0RvYy54bWysU9uO0zAQfUfiHyy/06SrLdtGTVeiVXlZ&#10;oNLCB0wdJ7HwTR7TpH/P2Gm7u/CGeLHsuZyZc2a8fhyNZicZUDlb8/ms5Exa4Rplu5r/+L7/sOQM&#10;I9gGtLOy5meJ/HHz/t168JW8c73TjQyMQCxWg695H6OvigJFLw3gzHlpydm6YCDSM3RFE2AgdKOL&#10;u7L8WAwuND44IRHJupucfJPx21aK+K1tUUama069xXyGfB7TWWzWUHUBfK/EpQ34hy4MKEtFb1A7&#10;iMB+BfUXlFEiOHRtnAlnCte2SsjMgdjMyz/YPPfgZeZC4qC/yYT/D1Z8PR0CUw3NbsGZBUMz2jpr&#10;ZYwuSDZn90miwWNFkVt7CImkGO2zf3LiJ5KveONMD/RT2NgGk8KJJRuz5Oeb5HKMTExGQdaHh3K5&#10;ytMooLrm+YDxs3SGpUvNtbJJDKjg9IQxVYbqGpLM1u2V1nmg2rKBGK3KBc1cAO1VqyHS1Xhiirbj&#10;DHRHCytiyJDotGpSegLC0B23OrAT0NLc75fzT7spqIdGTtbVoiwvy4MQv7hmMs+p4GSn3i4wuc83&#10;+KnpHWA/5WRXEplStE31Zd7bC8cXQdPt6JrzIVxVp53IaZf9TUv3+k33179s8xsAAP//AwBQSwME&#10;FAAGAAgAAAAhAM7LYSzgAAAACgEAAA8AAABkcnMvZG93bnJldi54bWxMj8FOwzAMhu9IvENkJG4s&#10;HYOtK02nCQQSF8Y6QByzxrTVGqdKsq28PUYc2Mmy/en353wx2E4c0IfWkYLxKAGBVDnTUq3gbfN4&#10;lYIIUZPRnSNU8I0BFsX5Wa4z4460xkMZa8EhFDKtoImxz6QMVYNWh5HrkXj35bzVkVtfS+P1kcNt&#10;J6+TZCqtbokvNLrH+warXbm3Ct4/VuZp4v3nQ/r8sm6Xu3a+ei2VurwYlncgIg7xH4ZffVaHgp22&#10;bk8miE7B7Xg2YVTBTcqVgb/BlsnpfAayyOXpC8UPAAAA//8DAFBLAQItABQABgAIAAAAIQC2gziS&#10;/gAAAOEBAAATAAAAAAAAAAAAAAAAAAAAAABbQ29udGVudF9UeXBlc10ueG1sUEsBAi0AFAAGAAgA&#10;AAAhADj9If/WAAAAlAEAAAsAAAAAAAAAAAAAAAAALwEAAF9yZWxzLy5yZWxzUEsBAi0AFAAGAAgA&#10;AAAhAPOMw6TdAQAArQMAAA4AAAAAAAAAAAAAAAAALgIAAGRycy9lMm9Eb2MueG1sUEsBAi0AFAAG&#10;AAgAAAAhAM7LYSzgAAAACgEAAA8AAAAAAAAAAAAAAAAANwQAAGRycy9kb3ducmV2LnhtbFBLBQYA&#10;AAAABAAEAPMAAABEBQAAAAA=&#10;" strokecolor="#4a7ebb" strokeweight="1.5pt">
                <o:lock v:ext="edit" shapetype="f"/>
              </v:line>
            </w:pict>
          </mc:Fallback>
        </mc:AlternateContent>
      </w:r>
    </w:p>
    <w:p w:rsidR="00507FFC" w:rsidRPr="00AF00C2" w:rsidRDefault="00CF39A8" w:rsidP="00E67038">
      <w:r>
        <w:rPr>
          <w:noProof/>
          <w:lang w:eastAsia="it-IT"/>
        </w:rPr>
        <mc:AlternateContent>
          <mc:Choice Requires="wps">
            <w:drawing>
              <wp:anchor distT="0" distB="0" distL="114300" distR="114300" simplePos="0" relativeHeight="251652608" behindDoc="0" locked="0" layoutInCell="1" allowOverlap="1">
                <wp:simplePos x="0" y="0"/>
                <wp:positionH relativeFrom="column">
                  <wp:posOffset>1608455</wp:posOffset>
                </wp:positionH>
                <wp:positionV relativeFrom="paragraph">
                  <wp:posOffset>234950</wp:posOffset>
                </wp:positionV>
                <wp:extent cx="3384550" cy="723265"/>
                <wp:effectExtent l="0" t="0" r="25400" b="19685"/>
                <wp:wrapNone/>
                <wp:docPr id="5" name="Rettangolo arrotondat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84550" cy="723265"/>
                        </a:xfrm>
                        <a:prstGeom prst="roundRect">
                          <a:avLst/>
                        </a:prstGeom>
                        <a:solidFill>
                          <a:srgbClr val="4F81BD"/>
                        </a:solidFill>
                        <a:ln w="25400" cap="flat" cmpd="sng" algn="ctr">
                          <a:solidFill>
                            <a:srgbClr val="4F81BD">
                              <a:shade val="50000"/>
                            </a:srgbClr>
                          </a:solidFill>
                          <a:prstDash val="solid"/>
                        </a:ln>
                        <a:effectLst/>
                      </wps:spPr>
                      <wps:txbx>
                        <w:txbxContent>
                          <w:p w:rsidR="00507FFC" w:rsidRPr="00147263" w:rsidRDefault="00507FFC" w:rsidP="00E67038">
                            <w:pPr>
                              <w:jc w:val="center"/>
                              <w:rPr>
                                <w:b/>
                                <w:color w:val="FFFFFF"/>
                                <w:sz w:val="36"/>
                                <w:szCs w:val="36"/>
                              </w:rPr>
                            </w:pPr>
                            <w:r w:rsidRPr="00147263">
                              <w:rPr>
                                <w:b/>
                                <w:color w:val="FFFFFF"/>
                                <w:sz w:val="36"/>
                                <w:szCs w:val="36"/>
                              </w:rPr>
                              <w:t>A.S.M. PAVIA S.P.A.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id="Rettangolo arrotondato 5" o:spid="_x0000_s1027" style="position:absolute;margin-left:126.65pt;margin-top:18.5pt;width:266.5pt;height:56.9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biUjwIAADgFAAAOAAAAZHJzL2Uyb0RvYy54bWysVMlu2zAQvRfoPxC8N7IdK3GFyIEbw0UB&#10;IwmSFDmPKWpBKQ5L0pbTr++QkhNnORXVgeBo9vdmeHG5bxXbSesa1Dkfn4w4k1pg0egq5z8fVl9m&#10;nDkPugCFWub8STp+Of/86aIzmZxgjaqQllEQ7bLO5Lz23mRJ4kQtW3AnaKQmZYm2BU+irZLCQkfR&#10;W5VMRqOzpENbGItCOkd/l72Sz2P8spTC35Slk56pnFNtPp42nptwJvMLyCoLpm7EUAb8QxUtNJqS&#10;Podagge2tc27UG0jLDos/YnANsGybISMPVA349Gbbu5rMDL2QuA48wyT+39hxfXu1rKmyHnKmYaW&#10;KLqTngirUCEDa9EjkeeRpQGrzriMXO7NrQ3dOrNG8cuRInmlCYIbbPalbYMt9cr2EfinZ+Dl3jNB&#10;P09PZ9M0JX4E6c4np5OzmC2B7OBtrPPfJbYsXHJucauLO2I3gg67tfOhCMgOdrE6VE2xapSKgq02&#10;V8qyHdAkTFez8bdlaIhc3LGZ0qzL+SSdjkI1QBNZKvB0bQ1h5HTFGaiKRl14G3O/8nYfJInJayhk&#10;nzod0XfI3Ju/ryJ0sQRX9y4xxeCidIgn42QPTb+AHW5+v9lHPscHvjZYPBHHxGRE3xmxaij+Gpy/&#10;BUvTTp3SBvsbOkqF1D4ON85qtH8++h/saQhJy1lH20PQ/N6ClZypH5rG8+t4Og3rFoVpej4hwR5r&#10;NscavW2vkGgZ01thRLwGe68O19Ji+0iLvghZSQVaUO6ehEG48v1W01Mh5GIRzWjFDPi1vjciBA/I&#10;BWQf9o9gzTBJnmbwGg+bBtmbWeptg6fGxdZj2cRBC0j3uA6jT+sZaRyekrD/x3K0ennw5n8BAAD/&#10;/wMAUEsDBBQABgAIAAAAIQB5Tf0f3AAAAAoBAAAPAAAAZHJzL2Rvd25yZXYueG1sTI/BTsMwDIbv&#10;SLxDZCRuLKHV1lKaTgO0OwwQ16zx2orGqZq0K2+PObGj7U+/v7/cLq4XM46h86ThfqVAINXedtRo&#10;+Hjf3+UgQjRkTe8JNfxggG11fVWawvozveF8iI3gEAqF0dDGOBRShrpFZ8LKD0h8O/nRmcjj2Eg7&#10;mjOHu14mSm2kMx3xh9YM+Nxi/X2YnAanmlHl05f7fEpq2vvX+SXbnbS+vVl2jyAiLvEfhj99VoeK&#10;nY5+IhtEryFZpymjGtKMOzGQ5RteHJlcqweQVSkvK1S/AAAA//8DAFBLAQItABQABgAIAAAAIQC2&#10;gziS/gAAAOEBAAATAAAAAAAAAAAAAAAAAAAAAABbQ29udGVudF9UeXBlc10ueG1sUEsBAi0AFAAG&#10;AAgAAAAhADj9If/WAAAAlAEAAAsAAAAAAAAAAAAAAAAALwEAAF9yZWxzLy5yZWxzUEsBAi0AFAAG&#10;AAgAAAAhAPJpuJSPAgAAOAUAAA4AAAAAAAAAAAAAAAAALgIAAGRycy9lMm9Eb2MueG1sUEsBAi0A&#10;FAAGAAgAAAAhAHlN/R/cAAAACgEAAA8AAAAAAAAAAAAAAAAA6QQAAGRycy9kb3ducmV2LnhtbFBL&#10;BQYAAAAABAAEAPMAAADyBQAAAAA=&#10;" fillcolor="#4f81bd" strokecolor="#385d8a" strokeweight="2pt">
                <v:path arrowok="t"/>
                <v:textbox>
                  <w:txbxContent>
                    <w:p w:rsidR="00507FFC" w:rsidRPr="00147263" w:rsidRDefault="00507FFC" w:rsidP="00E67038">
                      <w:pPr>
                        <w:jc w:val="center"/>
                        <w:rPr>
                          <w:b/>
                          <w:color w:val="FFFFFF"/>
                          <w:sz w:val="36"/>
                          <w:szCs w:val="36"/>
                        </w:rPr>
                      </w:pPr>
                      <w:r w:rsidRPr="00147263">
                        <w:rPr>
                          <w:b/>
                          <w:color w:val="FFFFFF"/>
                          <w:sz w:val="36"/>
                          <w:szCs w:val="36"/>
                        </w:rPr>
                        <w:t>A.S.M. PAVIA S.P.A.</w:t>
                      </w:r>
                    </w:p>
                  </w:txbxContent>
                </v:textbox>
              </v:roundrect>
            </w:pict>
          </mc:Fallback>
        </mc:AlternateContent>
      </w:r>
    </w:p>
    <w:p w:rsidR="00507FFC" w:rsidRPr="00AF00C2" w:rsidRDefault="00507FFC" w:rsidP="00E67038"/>
    <w:p w:rsidR="00507FFC" w:rsidRPr="00AF00C2" w:rsidRDefault="00507FFC" w:rsidP="00E67038"/>
    <w:p w:rsidR="00507FFC" w:rsidRPr="00AF00C2" w:rsidRDefault="00CF39A8" w:rsidP="00E67038">
      <w:r>
        <w:rPr>
          <w:noProof/>
          <w:lang w:eastAsia="it-IT"/>
        </w:rPr>
        <mc:AlternateContent>
          <mc:Choice Requires="wps">
            <w:drawing>
              <wp:anchor distT="0" distB="0" distL="114298" distR="114298" simplePos="0" relativeHeight="251656704" behindDoc="0" locked="0" layoutInCell="1" allowOverlap="1">
                <wp:simplePos x="0" y="0"/>
                <wp:positionH relativeFrom="column">
                  <wp:posOffset>3181984</wp:posOffset>
                </wp:positionH>
                <wp:positionV relativeFrom="paragraph">
                  <wp:posOffset>14605</wp:posOffset>
                </wp:positionV>
                <wp:extent cx="0" cy="478155"/>
                <wp:effectExtent l="0" t="0" r="19050" b="17145"/>
                <wp:wrapNone/>
                <wp:docPr id="4" name="Connettore 1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8155"/>
                        </a:xfrm>
                        <a:prstGeom prst="line">
                          <a:avLst/>
                        </a:prstGeom>
                        <a:noFill/>
                        <a:ln w="19050">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ttore 1 23" o:spid="_x0000_s1026" style="position:absolute;z-index:25165670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50.55pt,1.15pt" to="250.55pt,3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BIGwIAADEEAAAOAAAAZHJzL2Uyb0RvYy54bWysU8GO2yAQvVfqPyDuie2sk02sOKvWTnrZ&#10;tpF2+wEEcIyKGQQkTlT13ws4iTbtpap6gQFm3ryZeSyfTp1ER26sAFXibJxixBUFJtS+xN9eN6M5&#10;RtYRxYgExUt85hY/rd6/W/a64BNoQTJukAdRtuh1iVvndJEklra8I3YMmiv/2IDpiPNHs0+YIb1H&#10;72QySdNZ0oNh2gDl1vrbenjEq4jfNJy6r01juUOyxJ6bi6uJ6y6syWpJir0huhX0QoP8A4uOCOWT&#10;3qBq4gg6GPEHVCeoAQuNG1PoEmgaQXmswVeTpb9V89ISzWMtvjlW39pk/x8s/XLcGiRYiXOMFOn8&#10;iCpQijsHhqMMTR5Ci3ptC+9Zqa0JRdKTetHPQL9bpKBqidrzSPX1rH18FiKSu5BwsNon2vWfgXkf&#10;cnAQ+3VqTBcgfSfQKY7lfBsLPzlEh0vqb/PHeTadRnBSXOO0se4Thw4Fo8RSqNAwUpDjs3WBBymu&#10;LuFawUZIGYcuFeo92UU6TWOEBSlYeA1+1ux3lTToSLxu8unj4uP8kvjOzcBBsYjWcsLWF9sRIQfb&#10;Z5cq4PlSPJ+LNQjjxyJdrOfreT7KJ7P1KE/revRhU+Wj2SZ7nNYPdVXV2c9ALcuLVjDGVWB3FWmW&#10;/50ILt9lkNdNprc+JPfosWGe7HWPpOMsw/gGIeyAnbfmOmOvy+h8+UNB+G/P3n7701e/AAAA//8D&#10;AFBLAwQUAAYACAAAACEA4M66AN0AAAAIAQAADwAAAGRycy9kb3ducmV2LnhtbEyPQUvDQBSE74L/&#10;YXmCl2J3U2lTYl5KET0oIpoWz9vsMwlm38bston/3hUPehxmmPkm30y2EycafOsYIZkrEMSVMy3X&#10;CPvd/dUahA+aje4cE8IXedgU52e5zowb+ZVOZahFLGGfaYQmhD6T0lcNWe3nrieO3rsbrA5RDrU0&#10;gx5jue3kQqmVtLrluNDonm4bqj7Ko0V4658e1Oxx3Nrnu/Jl9qnSpVmniJcX0/YGRKAp/IXhBz+i&#10;QxGZDu7IxosOYamSJEYRFtcgov+rDwhpugJZ5PL/geIbAAD//wMAUEsBAi0AFAAGAAgAAAAhALaD&#10;OJL+AAAA4QEAABMAAAAAAAAAAAAAAAAAAAAAAFtDb250ZW50X1R5cGVzXS54bWxQSwECLQAUAAYA&#10;CAAAACEAOP0h/9YAAACUAQAACwAAAAAAAAAAAAAAAAAvAQAAX3JlbHMvLnJlbHNQSwECLQAUAAYA&#10;CAAAACEABDCQSBsCAAAxBAAADgAAAAAAAAAAAAAAAAAuAgAAZHJzL2Uyb0RvYy54bWxQSwECLQAU&#10;AAYACAAAACEA4M66AN0AAAAIAQAADwAAAAAAAAAAAAAAAAB1BAAAZHJzL2Rvd25yZXYueG1sUEsF&#10;BgAAAAAEAAQA8wAAAH8FAAAAAA==&#10;" strokecolor="#4579b8" strokeweight="1.5pt"/>
            </w:pict>
          </mc:Fallback>
        </mc:AlternateContent>
      </w:r>
    </w:p>
    <w:p w:rsidR="00507FFC" w:rsidRPr="00AF00C2" w:rsidRDefault="00CF39A8" w:rsidP="00E67038">
      <w:r>
        <w:rPr>
          <w:noProof/>
          <w:lang w:eastAsia="it-IT"/>
        </w:rPr>
        <mc:AlternateContent>
          <mc:Choice Requires="wps">
            <w:drawing>
              <wp:anchor distT="0" distB="0" distL="114297" distR="114297" simplePos="0" relativeHeight="251657728" behindDoc="0" locked="0" layoutInCell="1" allowOverlap="1">
                <wp:simplePos x="0" y="0"/>
                <wp:positionH relativeFrom="column">
                  <wp:posOffset>4229099</wp:posOffset>
                </wp:positionH>
                <wp:positionV relativeFrom="paragraph">
                  <wp:posOffset>193675</wp:posOffset>
                </wp:positionV>
                <wp:extent cx="0" cy="342900"/>
                <wp:effectExtent l="0" t="0" r="19050" b="19050"/>
                <wp:wrapNone/>
                <wp:docPr id="30" name="Connettore 1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42900"/>
                        </a:xfrm>
                        <a:prstGeom prst="line">
                          <a:avLst/>
                        </a:prstGeom>
                        <a:noFill/>
                        <a:ln w="19050"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Connettore 1 30" o:spid="_x0000_s1026" style="position:absolute;z-index:25165772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333pt,15.25pt" to="333pt,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KAs3AEAAK4DAAAOAAAAZHJzL2Uyb0RvYy54bWysU01v2zAMvQ/YfxB0X2yn7dAYcQosQXbp&#10;tgDdfgAjy7ZQfUHU4uTfj5KTtN1uQy8CRVKPfM/Py4ej0ewgAypnG17NSs6kFa5Vtm/4r5/bT/ec&#10;YQTbgnZWNvwkkT+sPn5Yjr6Wczc43crACMRiPfqGDzH6uihQDNIAzpyXloqdCwYiXUNftAFGQje6&#10;mJfl52J0ofXBCYlI2c1U5KuM33VSxB9dhzIy3XDaLeYz5HOfzmK1hLoP4AclzmvAf2xhQFkaeoXa&#10;QAT2O6h/oIwSwaHr4kw4U7iuU0JmDsSmKv9i8zSAl5kLiYP+KhO+H6z4ftgFptqG35A8Fgx9o7Wz&#10;VsbogmQVozRpNHqsqXVtdyGxFEf75B+deEaqFW+K6YJ+ajt2waR2osmOWfPTVXN5jExMSUHZm9v5&#10;osyjCqgv73zA+FU6w1LQcK1sUgNqODxiTJOhvrSktHVbpXX+otqykey4KO+IlQAyVqchUmg8UUXb&#10;cwa6J8eKGDIkOq3a9DwBYej3ax3YAcg1t9v76stmahqglVN2cVdO61I3xG+undIVDbzSOMPkPd/g&#10;p6U3gMP0JpeSyERH2zRfZuOeOb4ImqK9a0+7cFGdTJGfnQ2cXPf6TvHr32z1BwAA//8DAFBLAwQU&#10;AAYACAAAACEAJrRR5N8AAAAJAQAADwAAAGRycy9kb3ducmV2LnhtbEyPwU7DMBBE70j8g7VI3KgD&#10;pVEI2VQVCCQulKYFcXTjJYkaryPbbcPf14gDHGdnNPummI+mFwdyvrOMcD1JQBDXVnfcIGzWT1cZ&#10;CB8Ua9VbJoRv8jAvz88KlWt75BUdqtCIWMI+VwhtCEMupa9bMspP7EAcvS/rjApRukZqp46x3PTy&#10;JklSaVTH8UOrBnpoqd5Ve4Pw/rHUz1PnPh+zl9dVt9h1d8u3CvHyYlzcgwg0hr8w/OBHdCgj09bu&#10;WXvRI6RpGrcEhGkyAxEDv4ctQnY7A1kW8v+C8gQAAP//AwBQSwECLQAUAAYACAAAACEAtoM4kv4A&#10;AADhAQAAEwAAAAAAAAAAAAAAAAAAAAAAW0NvbnRlbnRfVHlwZXNdLnhtbFBLAQItABQABgAIAAAA&#10;IQA4/SH/1gAAAJQBAAALAAAAAAAAAAAAAAAAAC8BAABfcmVscy8ucmVsc1BLAQItABQABgAIAAAA&#10;IQDccKAs3AEAAK4DAAAOAAAAAAAAAAAAAAAAAC4CAABkcnMvZTJvRG9jLnhtbFBLAQItABQABgAI&#10;AAAAIQAmtFHk3wAAAAkBAAAPAAAAAAAAAAAAAAAAADYEAABkcnMvZG93bnJldi54bWxQSwUGAAAA&#10;AAQABADzAAAAQgUAAAAA&#10;" strokecolor="#4a7ebb" strokeweight="1.5pt">
                <o:lock v:ext="edit" shapetype="f"/>
              </v:line>
            </w:pict>
          </mc:Fallback>
        </mc:AlternateContent>
      </w:r>
      <w:r>
        <w:rPr>
          <w:noProof/>
          <w:lang w:eastAsia="it-IT"/>
        </w:rPr>
        <mc:AlternateContent>
          <mc:Choice Requires="wps">
            <w:drawing>
              <wp:anchor distT="0" distB="0" distL="114297" distR="114297" simplePos="0" relativeHeight="251662848" behindDoc="0" locked="0" layoutInCell="1" allowOverlap="1">
                <wp:simplePos x="0" y="0"/>
                <wp:positionH relativeFrom="column">
                  <wp:posOffset>2171699</wp:posOffset>
                </wp:positionH>
                <wp:positionV relativeFrom="paragraph">
                  <wp:posOffset>193675</wp:posOffset>
                </wp:positionV>
                <wp:extent cx="0" cy="342900"/>
                <wp:effectExtent l="0" t="0" r="19050" b="19050"/>
                <wp:wrapNone/>
                <wp:docPr id="10" name="Connettore 1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42900"/>
                        </a:xfrm>
                        <a:prstGeom prst="line">
                          <a:avLst/>
                        </a:prstGeom>
                        <a:noFill/>
                        <a:ln w="19050"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Connettore 1 10" o:spid="_x0000_s1026" style="position:absolute;z-index:25166284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171pt,15.25pt" to="171pt,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2X2wEAAK4DAAAOAAAAZHJzL2Uyb0RvYy54bWysU9uO0zAQfUfiHyy/0yRlF22jpivRqrws&#10;UGnhA6aOk1j4Jo9p0r9n7LRlF94QL9Z4LmfmHI/Xj5PR7CQDKmcbXi1KzqQVrlW2b/j3b/t3D5xh&#10;BNuCdlY2/CyRP27evlmPvpZLNzjdysAIxGI9+oYPMfq6KFAM0gAunJeWgp0LBiJdQ1+0AUZCN7pY&#10;luWHYnSh9cEJiUje3Rzkm4zfdVLEr12HMjLdcJot5jPk85jOYrOGug/gByUuY8A/TGFAWWp6g9pB&#10;BPYzqL+gjBLBoeviQjhTuK5TQmYOxKYq/2DzPICXmQuJg/4mE/4/WPHldAhMtfR2JI8FQ2+0ddbK&#10;GF2QrGLkJo1GjzWlbu0hJJZiss/+yYkfSLHiVTBd0M9pUxdMSieabMqan2+ayykyMTsFed/fLVdl&#10;blVAfa3zAeMn6QxLRsO1skkNqOH0hDF1hvqaktzW7ZXW+UW1ZSNRWpX3xEoALVanIZJpPFFF23MG&#10;uqeNFTFkSHRatak8AWHoj1sd2Aloa+72D9XH3Zw0QCtn7+q+nMelbIifXTu7K2p4o3GByXO+wk9D&#10;7wCHuSaHkshER9vUX+bFvXD8LWiyjq49H8JVdVqKXHZZ4LR1L+9kv/xmm18AAAD//wMAUEsDBBQA&#10;BgAIAAAAIQBXId7i3wAAAAkBAAAPAAAAZHJzL2Rvd25yZXYueG1sTI9LT8MwEITvSPwHa5G4UYc+&#10;UAhxqgoEEhdKw0Mc3XhJrMbryHbb8O9ZxAFuuzuj2W/K5eh6ccAQrScFl5MMBFLjjaVWwevL/UUO&#10;IiZNRveeUMEXRlhWpyelLow/0gYPdWoFh1AstIIupaGQMjYdOh0nfkBi7dMHpxOvoZUm6COHu15O&#10;s+xKOm2JP3R6wNsOm129dwre3tfmYRbCx13++LSxq529Xj/XSp2fjasbEAnH9GeGH3xGh4qZtn5P&#10;JopewWw+5S6Jh2wBgg2/h62CfL4AWZXyf4PqGwAA//8DAFBLAQItABQABgAIAAAAIQC2gziS/gAA&#10;AOEBAAATAAAAAAAAAAAAAAAAAAAAAABbQ29udGVudF9UeXBlc10ueG1sUEsBAi0AFAAGAAgAAAAh&#10;ADj9If/WAAAAlAEAAAsAAAAAAAAAAAAAAAAALwEAAF9yZWxzLy5yZWxzUEsBAi0AFAAGAAgAAAAh&#10;AP+W/ZfbAQAArgMAAA4AAAAAAAAAAAAAAAAALgIAAGRycy9lMm9Eb2MueG1sUEsBAi0AFAAGAAgA&#10;AAAhAFch3uLfAAAACQEAAA8AAAAAAAAAAAAAAAAANQQAAGRycy9kb3ducmV2LnhtbFBLBQYAAAAA&#10;BAAEAPMAAABBBQAAAAA=&#10;" strokecolor="#4a7ebb" strokeweight="1.5pt">
                <o:lock v:ext="edit" shapetype="f"/>
              </v:line>
            </w:pict>
          </mc:Fallback>
        </mc:AlternateContent>
      </w:r>
      <w:r>
        <w:rPr>
          <w:noProof/>
          <w:lang w:eastAsia="it-IT"/>
        </w:rPr>
        <mc:AlternateContent>
          <mc:Choice Requires="wps">
            <w:drawing>
              <wp:anchor distT="0" distB="0" distL="114300" distR="114300" simplePos="0" relativeHeight="251655680" behindDoc="0" locked="0" layoutInCell="1" allowOverlap="1">
                <wp:simplePos x="0" y="0"/>
                <wp:positionH relativeFrom="column">
                  <wp:posOffset>2171700</wp:posOffset>
                </wp:positionH>
                <wp:positionV relativeFrom="paragraph">
                  <wp:posOffset>193675</wp:posOffset>
                </wp:positionV>
                <wp:extent cx="2057400" cy="0"/>
                <wp:effectExtent l="0" t="0" r="19050" b="19050"/>
                <wp:wrapNone/>
                <wp:docPr id="3" name="Connettore 1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19050">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nettore 1 21"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15.25pt" to="333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2ARHwIAADIEAAAOAAAAZHJzL2Uyb0RvYy54bWysU02P0zAQvSPxH6zc2yTddLeNmq4gabks&#10;UGmXH+DaTmPheCzb27RC/HfG7gcULghxcWzPm5c3M8+Lx0OvyF5YJ0FXST7OEiI0Ay71rkq+vKxH&#10;s4Q4TzWnCrSokqNwyePy7ZvFYEoxgQ4UF5YgiXblYKqk896UaepYJ3rqxmCExmALtqcej3aXcksH&#10;ZO9VOsmy+3QAy40FJpzD2+YUTJaRv20F85/b1glPVJWgNh9XG9dtWNPlgpY7S00n2VkG/QcVPZUa&#10;f3qlaqin5NXKP6h6ySw4aP2YQZ9C20omYg1YTZ79Vs1zR42ItWBznLm2yf0/WvZpv7FE8iq5S4im&#10;PY6oBq2F92AFyckkDy0ajCsRWeuNDUWyg342T8C+OqKh7qjeiSj15WgwP2akNynh4Az+aDt8BI4Y&#10;+uoh9uvQ2j5QYifIIY7leB2LOHjC8HKSTR+KDKfHLrGUlpdEY53/IKAnYVMlSurQMVrS/ZPzKB2h&#10;F0i41rCWSsWpK00GVDvPplnMcKAkD9GAc3a3rZUle4rGKaYP8/ez0Ahku4FZeNU8snWC8tV576lU&#10;pz3ilQ58WAvqOe9Ozvg2z+ar2WpWjIrJ/WpUZE0zereui9H9On+YNndNXTf59yAtL8pOci50UHdx&#10;aV78nQvO7+Xkr6tPr31Ib9ljiSj28o2i4zDD/E5O2AI/bmzoRpgrGjOCz48oOP/Xc0T9fOrLHwAA&#10;AP//AwBQSwMEFAAGAAgAAAAhAKNB4AnfAAAACQEAAA8AAABkcnMvZG93bnJldi54bWxMj0FPwzAM&#10;he9I/IfISFwmljBYN5Wm04TgMISmURDnrDFtReOUJlvLv8cTB7jZz0/P38tWo2vFEfvQeNJwPVUg&#10;kEpvG6o0vL0+Xi1BhGjImtYTavjGAKv8/CwzqfUDveCxiJXgEAqp0VDH2KVShrJGZ8LUd0h8+/C9&#10;M5HXvpK2NwOHu1bOlEqkMw3xh9p0eF9j+VkcnIb37nmjJk/D2m0fit3kSy3mdrnQ+vJiXN+BiDjG&#10;PzOc8Bkdcmba+wPZIFoNN7cz7hJ5UHMQbEiShIX9ryDzTP5vkP8AAAD//wMAUEsBAi0AFAAGAAgA&#10;AAAhALaDOJL+AAAA4QEAABMAAAAAAAAAAAAAAAAAAAAAAFtDb250ZW50X1R5cGVzXS54bWxQSwEC&#10;LQAUAAYACAAAACEAOP0h/9YAAACUAQAACwAAAAAAAAAAAAAAAAAvAQAAX3JlbHMvLnJlbHNQSwEC&#10;LQAUAAYACAAAACEAEFdgER8CAAAyBAAADgAAAAAAAAAAAAAAAAAuAgAAZHJzL2Uyb0RvYy54bWxQ&#10;SwECLQAUAAYACAAAACEAo0HgCd8AAAAJAQAADwAAAAAAAAAAAAAAAAB5BAAAZHJzL2Rvd25yZXYu&#10;eG1sUEsFBgAAAAAEAAQA8wAAAIUFAAAAAA==&#10;" strokecolor="#4579b8" strokeweight="1.5pt"/>
            </w:pict>
          </mc:Fallback>
        </mc:AlternateContent>
      </w:r>
      <w:r>
        <w:rPr>
          <w:noProof/>
          <w:lang w:eastAsia="it-IT"/>
        </w:rPr>
        <mc:AlternateContent>
          <mc:Choice Requires="wps">
            <w:drawing>
              <wp:anchor distT="0" distB="0" distL="114297" distR="114297" simplePos="0" relativeHeight="251658752" behindDoc="0" locked="0" layoutInCell="1" allowOverlap="1">
                <wp:simplePos x="0" y="0"/>
                <wp:positionH relativeFrom="column">
                  <wp:posOffset>8089264</wp:posOffset>
                </wp:positionH>
                <wp:positionV relativeFrom="paragraph">
                  <wp:posOffset>172085</wp:posOffset>
                </wp:positionV>
                <wp:extent cx="0" cy="293370"/>
                <wp:effectExtent l="0" t="0" r="19050" b="11430"/>
                <wp:wrapNone/>
                <wp:docPr id="32" name="Connettore 1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93370"/>
                        </a:xfrm>
                        <a:prstGeom prst="line">
                          <a:avLst/>
                        </a:prstGeom>
                        <a:noFill/>
                        <a:ln w="19050"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Connettore 1 32" o:spid="_x0000_s1026" style="position:absolute;z-index:25165875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636.95pt,13.55pt" to="636.95pt,3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BQv3gEAAK4DAAAOAAAAZHJzL2Uyb0RvYy54bWysU9uO0zAQfUfiHyy/0yQtC9uo6Uq0Ki8L&#10;VFr4gKnjJBa+yWOa9u8ZO213F94QL9Z4Lmdmjo9XDyej2VEGVM42vJqVnEkrXKts3/Af33fv7jnD&#10;CLYF7axs+Fkif1i/fbMafS3nbnC6lYERiMV69A0fYvR1UaAYpAGcOS8tBTsXDES6hr5oA4yEbnQx&#10;L8sPxehC64MTEpG82ynI1xm/66SI37oOZWS64TRbzGfI5yGdxXoFdR/AD0pcxoB/mMKAstT0BrWF&#10;COxXUH9BGSWCQ9fFmXCmcF2nhMw70DZV+cc2TwN4mXchctDfaML/Byu+HveBqbbhizlnFgy90cZZ&#10;K2N0QbKKkZs4Gj3WlLqx+5C2FCf75B+d+IkUK14F0wX9lHbqgknptCY7Zc7PN87lKTIxOQV558vF&#10;4mN+jgLqa50PGD9LZ1gyGq6VTWxADcdHjKkz1NeU5LZup7TOL6otG0mOy/KOHl0ACavTEMk0nlZF&#10;23MGuifFihgyJDqt2lSegDD0h40O7Aikmve7++rTdkoaoJWTd3lXlhf1IMQvrp3cFTWc/DTbBSbP&#10;+Qo/Db0FHKaaHEokU4m2qb/Mwr3s+Exosg6uPe/DlXUSRS67CDip7uWd7JffbP0bAAD//wMAUEsD&#10;BBQABgAIAAAAIQDU2xHd4AAAAAsBAAAPAAAAZHJzL2Rvd25yZXYueG1sTI/BTsMwDIbvSLxDZCRu&#10;LF0r0a00nSYQSFzYVjbEMWtMG61xqiTbytuTiQMcf/vT78/lYjQ9O6Hz2pKA6SQBhtRYpakVsH1/&#10;vpsB80GSkr0lFPCNHhbV9VUpC2XPtMFTHVoWS8gXUkAXwlBw7psOjfQTOyDF3Zd1RoYYXcuVk+dY&#10;bnqeJsk9N1JTvNDJAR87bA710QjYfazUS+bc59Ps9W2jlwc9X61rIW5vxuUDsIBj+IPhoh/VoYpO&#10;e3sk5Vkfc5pn88gKSPMpsAvxO9kLyLMMeFXy/z9UPwAAAP//AwBQSwECLQAUAAYACAAAACEAtoM4&#10;kv4AAADhAQAAEwAAAAAAAAAAAAAAAAAAAAAAW0NvbnRlbnRfVHlwZXNdLnhtbFBLAQItABQABgAI&#10;AAAAIQA4/SH/1gAAAJQBAAALAAAAAAAAAAAAAAAAAC8BAABfcmVscy8ucmVsc1BLAQItABQABgAI&#10;AAAAIQBtfBQv3gEAAK4DAAAOAAAAAAAAAAAAAAAAAC4CAABkcnMvZTJvRG9jLnhtbFBLAQItABQA&#10;BgAIAAAAIQDU2xHd4AAAAAsBAAAPAAAAAAAAAAAAAAAAADgEAABkcnMvZG93bnJldi54bWxQSwUG&#10;AAAAAAQABADzAAAARQUAAAAA&#10;" strokecolor="#4a7ebb" strokeweight="1.5pt">
                <o:lock v:ext="edit" shapetype="f"/>
              </v:line>
            </w:pict>
          </mc:Fallback>
        </mc:AlternateContent>
      </w:r>
    </w:p>
    <w:p w:rsidR="00507FFC" w:rsidRPr="00AF00C2" w:rsidRDefault="00CF39A8" w:rsidP="00E67038">
      <w:r>
        <w:rPr>
          <w:noProof/>
          <w:lang w:eastAsia="it-IT"/>
        </w:rPr>
        <mc:AlternateContent>
          <mc:Choice Requires="wps">
            <w:drawing>
              <wp:anchor distT="0" distB="0" distL="114300" distR="114300" simplePos="0" relativeHeight="251661824" behindDoc="0" locked="0" layoutInCell="1" allowOverlap="1">
                <wp:simplePos x="0" y="0"/>
                <wp:positionH relativeFrom="column">
                  <wp:posOffset>3771900</wp:posOffset>
                </wp:positionH>
                <wp:positionV relativeFrom="paragraph">
                  <wp:posOffset>213360</wp:posOffset>
                </wp:positionV>
                <wp:extent cx="861060" cy="539750"/>
                <wp:effectExtent l="0" t="0" r="15240" b="12700"/>
                <wp:wrapNone/>
                <wp:docPr id="9" name="Rettangolo arrotondat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61060" cy="539750"/>
                        </a:xfrm>
                        <a:prstGeom prst="roundRect">
                          <a:avLst/>
                        </a:prstGeom>
                        <a:solidFill>
                          <a:srgbClr val="4F81BD"/>
                        </a:solidFill>
                        <a:ln w="25400" cap="flat" cmpd="sng" algn="ctr">
                          <a:solidFill>
                            <a:srgbClr val="4F81BD">
                              <a:shade val="50000"/>
                            </a:srgbClr>
                          </a:solidFill>
                          <a:prstDash val="solid"/>
                        </a:ln>
                        <a:effectLst/>
                      </wps:spPr>
                      <wps:txbx>
                        <w:txbxContent>
                          <w:p w:rsidR="00507FFC" w:rsidRPr="00147263" w:rsidRDefault="00507FFC" w:rsidP="00E67038">
                            <w:pPr>
                              <w:jc w:val="center"/>
                              <w:rPr>
                                <w:b/>
                                <w:color w:val="FFFFFF"/>
                                <w:sz w:val="14"/>
                                <w:szCs w:val="14"/>
                                <w:lang w:val="en-US"/>
                              </w:rPr>
                            </w:pPr>
                            <w:r w:rsidRPr="00147263">
                              <w:rPr>
                                <w:b/>
                                <w:color w:val="FFFFFF"/>
                                <w:sz w:val="14"/>
                                <w:szCs w:val="14"/>
                                <w:lang w:val="en-US"/>
                              </w:rPr>
                              <w:t>A2A S.P.A.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id="Rettangolo arrotondato 9" o:spid="_x0000_s1028" style="position:absolute;margin-left:297pt;margin-top:16.8pt;width:67.8pt;height:4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GO3jgIAADcFAAAOAAAAZHJzL2Uyb0RvYy54bWysVMlu2zAQvRfoPxC8N5JdO4mFyIEbw0UB&#10;IwmSFDmPKWpBKQ5L0pbTr++QkhNnORXVgeBo9vdmeHG5bxXbSesa1DkfnaScSS2waHSV858Pqy/n&#10;nDkPugCFWub8STp+Of/86aIzmRxjjaqQllEQ7bLO5Lz23mRJ4kQtW3AnaKQmZYm2BU+irZLCQkfR&#10;W5WM0/Q06dAWxqKQztHfZa/k8xi/LKXwN2XppGcq51Sbj6eN5yacyfwCssqCqRsxlAH/UEULjaak&#10;z6GW4IFtbfMuVNsIiw5LfyKwTbAsGyFjD9TNKH3TzX0NRsZeCBxnnmFy/y+suN7dWtYUOZ9xpqEl&#10;iu6kJ8IqVMjAWvRI5Hlks4BVZ1xGLvfm1oZunVmj+OVIkbzSBMENNvvStsGWemX7CPzTM/By75mg&#10;n+eno/SU6BGkmn6dnU0jMQlkB2djnf8usWXhknOLW13cEbkRc9itnQ81QHawi8WhaopVo1QUbLW5&#10;UpbtgAZhsjoffVuGfsjFHZspzbqcj6eTNFQDNJClAk/X1hBETlecgapo0oW3Mfcrb/dBkpi8hkL2&#10;qacpfYfMvfn7KkIXS3B17xJTDC5Kh3gyDvbQ9AvW4eb3m32kc3yga4PFE1FMREbwnRGrhuKvwflb&#10;sDTs1CktsL+ho1RI7eNw46xG++ej/8GeZpC0nHW0PATN7y1YyZn6oWk6Z6PJJGxbFCbTszEJ9liz&#10;OdbobXuFRMuIngoj4jXYe3W4lhbbR9rzRchKKtCCcvckDMKV75eaXgohF4toRhtmwK/1vREheEAu&#10;IPuwfwRrhknyNILXeFg0yN7MUm8bPDUuth7LJg5aQLrHdZh82s5I4/CShPU/lqPVy3s3/wsAAP//&#10;AwBQSwMEFAAGAAgAAAAhABTXMY/dAAAACgEAAA8AAABkcnMvZG93bnJldi54bWxMj8FOwzAMhu9I&#10;vENkJG4sWQddV5pOA7Q7DBDXrPXaisapkrQrb485sZstf/r9/cV2tr2Y0IfOkYblQoFAqlzdUaPh&#10;431/l4EI0VBtekeo4QcDbMvrq8LktTvTG06H2AgOoZAbDW2MQy5lqFq0JizcgMS3k/PWRF59I2tv&#10;zhxue5kolUprOuIPrRnwucXq+zBaDVY1XmXjl/18Sirau9fpZb07aX17M+8eQUSc4z8Mf/qsDiU7&#10;Hd1IdRC9hofNPXeJGlarFAQD62TDw5HJZZaCLAt5WaH8BQAA//8DAFBLAQItABQABgAIAAAAIQC2&#10;gziS/gAAAOEBAAATAAAAAAAAAAAAAAAAAAAAAABbQ29udGVudF9UeXBlc10ueG1sUEsBAi0AFAAG&#10;AAgAAAAhADj9If/WAAAAlAEAAAsAAAAAAAAAAAAAAAAALwEAAF9yZWxzLy5yZWxzUEsBAi0AFAAG&#10;AAgAAAAhAAWQY7eOAgAANwUAAA4AAAAAAAAAAAAAAAAALgIAAGRycy9lMm9Eb2MueG1sUEsBAi0A&#10;FAAGAAgAAAAhABTXMY/dAAAACgEAAA8AAAAAAAAAAAAAAAAA6AQAAGRycy9kb3ducmV2LnhtbFBL&#10;BQYAAAAABAAEAPMAAADyBQAAAAA=&#10;" fillcolor="#4f81bd" strokecolor="#385d8a" strokeweight="2pt">
                <v:path arrowok="t"/>
                <v:textbox>
                  <w:txbxContent>
                    <w:p w:rsidR="00507FFC" w:rsidRPr="00147263" w:rsidRDefault="00507FFC" w:rsidP="00E67038">
                      <w:pPr>
                        <w:jc w:val="center"/>
                        <w:rPr>
                          <w:b/>
                          <w:color w:val="FFFFFF"/>
                          <w:sz w:val="14"/>
                          <w:szCs w:val="14"/>
                          <w:lang w:val="en-US"/>
                        </w:rPr>
                      </w:pPr>
                      <w:r w:rsidRPr="00147263">
                        <w:rPr>
                          <w:b/>
                          <w:color w:val="FFFFFF"/>
                          <w:sz w:val="14"/>
                          <w:szCs w:val="14"/>
                          <w:lang w:val="en-US"/>
                        </w:rPr>
                        <w:t>A2A S.P.A.</w:t>
                      </w:r>
                    </w:p>
                  </w:txbxContent>
                </v:textbox>
              </v:roundrect>
            </w:pict>
          </mc:Fallback>
        </mc:AlternateContent>
      </w:r>
      <w:r>
        <w:rPr>
          <w:noProof/>
          <w:lang w:eastAsia="it-IT"/>
        </w:rPr>
        <mc:AlternateContent>
          <mc:Choice Requires="wps">
            <w:drawing>
              <wp:anchor distT="0" distB="0" distL="114300" distR="114300" simplePos="0" relativeHeight="251653632" behindDoc="0" locked="0" layoutInCell="1" allowOverlap="1">
                <wp:simplePos x="0" y="0"/>
                <wp:positionH relativeFrom="column">
                  <wp:posOffset>1714500</wp:posOffset>
                </wp:positionH>
                <wp:positionV relativeFrom="paragraph">
                  <wp:posOffset>213360</wp:posOffset>
                </wp:positionV>
                <wp:extent cx="871855" cy="539750"/>
                <wp:effectExtent l="0" t="0" r="23495" b="12700"/>
                <wp:wrapNone/>
                <wp:docPr id="11" name="Rettangolo arrotondato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71855" cy="539750"/>
                        </a:xfrm>
                        <a:prstGeom prst="roundRect">
                          <a:avLst/>
                        </a:prstGeom>
                        <a:solidFill>
                          <a:srgbClr val="4F81BD"/>
                        </a:solidFill>
                        <a:ln w="25400" cap="flat" cmpd="sng" algn="ctr">
                          <a:solidFill>
                            <a:srgbClr val="4F81BD">
                              <a:shade val="50000"/>
                            </a:srgbClr>
                          </a:solidFill>
                          <a:prstDash val="solid"/>
                        </a:ln>
                        <a:effectLst/>
                      </wps:spPr>
                      <wps:txbx>
                        <w:txbxContent>
                          <w:p w:rsidR="00507FFC" w:rsidRPr="00147263" w:rsidRDefault="00507FFC" w:rsidP="00E67038">
                            <w:pPr>
                              <w:jc w:val="center"/>
                              <w:rPr>
                                <w:b/>
                                <w:color w:val="FFFFFF"/>
                                <w:sz w:val="14"/>
                                <w:szCs w:val="14"/>
                              </w:rPr>
                            </w:pPr>
                            <w:r w:rsidRPr="00147263">
                              <w:rPr>
                                <w:b/>
                                <w:color w:val="FFFFFF"/>
                                <w:sz w:val="14"/>
                                <w:szCs w:val="14"/>
                              </w:rPr>
                              <w:t>PAVIA ACQUE S.C.A.R.L.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id="Rettangolo arrotondato 11" o:spid="_x0000_s1029" style="position:absolute;margin-left:135pt;margin-top:16.8pt;width:68.65pt;height:4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p3tkAIAADkFAAAOAAAAZHJzL2Uyb0RvYy54bWysVMlu2zAQvRfoPxC8N7Idu3GEyIEbw0UB&#10;IwmSFDmPKWpBKQ5L0pbSr++QkhNnORXVgeBo9jdveHHZNYrtpXU16oyPT0acSS0wr3WZ8Z8P6y9z&#10;zpwHnYNCLTP+JB2/XHz+dNGaVE6wQpVLyyiIdmlrMl55b9IkcaKSDbgTNFKTskDbgCfRlkluoaXo&#10;jUomo9HXpEWbG4tCOkd/V72SL2L8opDC3xSFk56pjFNtPp42nttwJosLSEsLpqrFUAb8QxUN1JqS&#10;PodagQe2s/W7UE0tLDos/InAJsGiqIWMPVA349Gbbu4rMDL2QuA48wyT+39hxfX+1rI6p9mNOdPQ&#10;0IzupKeJlaiQgbXokabnkZEBodUal5LTvbm1oV9nNih+OVIkrzRBcINNV9gm2FK3rIvQPz1DLzvP&#10;BP2cn43nsxlnglSz0/OzWRxNAunB2Vjnv0tsWLhk3OJO53c03og67DfOhxogPdjF4lDV+bpWKgq2&#10;3F4py/ZAVJiu5+Nvq9APubhjM6VZm/HJbDoiugggShYKPF0bQyA5XXIGqiSuC29j7lfe7oMkMXkF&#10;uexTz0b0HTL35u+rCF2swFW9S0wxuCgd4slI7aHpF6zDzXfbLg709DCuLeZPNGSaZATfGbGuKf4G&#10;nL8FS3SnTmmF/Q0dhUJqH4cbZxXaPx/9D/bEQtJy1tL6EDS/d2AlZ+qHJn6ej6fTsG9RmM7OJiTY&#10;Y832WKN3zRXSWIiCVF28BnuvDtfCYvNIm74MWUkFWlDufgiDcOX7taa3QsjlMprRjhnwG31vRAge&#10;kAvIPnSPYM3AJE8UvMbDqkH6hku9bfDUuNx5LOpItIB0j+vAfNrPOMbhLQkPwLEcrV5evMVfAAAA&#10;//8DAFBLAwQUAAYACAAAACEAibAIGdwAAAAKAQAADwAAAGRycy9kb3ducmV2LnhtbEyPQU+EMBCF&#10;7yb+h2ZMvLntggGClM2q2buuGq9dOgtEOiW0sPjvHU96nMyX975X7VY3iAWn0HvSsN0oEEiNtz21&#10;Gt7fDncFiBANWTN4Qg3fGGBXX19VprT+Qq+4HGMrOIRCaTR0MY6llKHp0Jmw8SMS/85+cibyObXS&#10;TubC4W6QiVKZdKYnbujMiE8dNl/H2Wlwqp1UMX+6j8ekoYN/WZ7z/Vnr25t1/wAi4hr/YPjVZ3Wo&#10;2enkZ7JBDBqSXPGWqCFNMxAM3Ks8BXFicltkIOtK/p9Q/wAAAP//AwBQSwECLQAUAAYACAAAACEA&#10;toM4kv4AAADhAQAAEwAAAAAAAAAAAAAAAAAAAAAAW0NvbnRlbnRfVHlwZXNdLnhtbFBLAQItABQA&#10;BgAIAAAAIQA4/SH/1gAAAJQBAAALAAAAAAAAAAAAAAAAAC8BAABfcmVscy8ucmVsc1BLAQItABQA&#10;BgAIAAAAIQCBjp3tkAIAADkFAAAOAAAAAAAAAAAAAAAAAC4CAABkcnMvZTJvRG9jLnhtbFBLAQIt&#10;ABQABgAIAAAAIQCJsAgZ3AAAAAoBAAAPAAAAAAAAAAAAAAAAAOoEAABkcnMvZG93bnJldi54bWxQ&#10;SwUGAAAAAAQABADzAAAA8wUAAAAA&#10;" fillcolor="#4f81bd" strokecolor="#385d8a" strokeweight="2pt">
                <v:path arrowok="t"/>
                <v:textbox>
                  <w:txbxContent>
                    <w:p w:rsidR="00507FFC" w:rsidRPr="00147263" w:rsidRDefault="00507FFC" w:rsidP="00E67038">
                      <w:pPr>
                        <w:jc w:val="center"/>
                        <w:rPr>
                          <w:b/>
                          <w:color w:val="FFFFFF"/>
                          <w:sz w:val="14"/>
                          <w:szCs w:val="14"/>
                        </w:rPr>
                      </w:pPr>
                      <w:r w:rsidRPr="00147263">
                        <w:rPr>
                          <w:b/>
                          <w:color w:val="FFFFFF"/>
                          <w:sz w:val="14"/>
                          <w:szCs w:val="14"/>
                        </w:rPr>
                        <w:t>PAVIA ACQUE S.C.A.R.L.</w:t>
                      </w:r>
                    </w:p>
                  </w:txbxContent>
                </v:textbox>
              </v:roundrect>
            </w:pict>
          </mc:Fallback>
        </mc:AlternateContent>
      </w:r>
      <w:r>
        <w:rPr>
          <w:noProof/>
          <w:lang w:eastAsia="it-IT"/>
        </w:rPr>
        <mc:AlternateContent>
          <mc:Choice Requires="wps">
            <w:drawing>
              <wp:anchor distT="0" distB="0" distL="114300" distR="114300" simplePos="0" relativeHeight="251654656" behindDoc="0" locked="0" layoutInCell="1" allowOverlap="1">
                <wp:simplePos x="0" y="0"/>
                <wp:positionH relativeFrom="column">
                  <wp:posOffset>7570470</wp:posOffset>
                </wp:positionH>
                <wp:positionV relativeFrom="paragraph">
                  <wp:posOffset>140970</wp:posOffset>
                </wp:positionV>
                <wp:extent cx="1079500" cy="572135"/>
                <wp:effectExtent l="0" t="0" r="25400" b="18415"/>
                <wp:wrapNone/>
                <wp:docPr id="13" name="Rettangolo arrotondato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00" cy="572135"/>
                        </a:xfrm>
                        <a:prstGeom prst="roundRect">
                          <a:avLst/>
                        </a:prstGeom>
                        <a:solidFill>
                          <a:srgbClr val="4F81BD"/>
                        </a:solidFill>
                        <a:ln w="25400" cap="flat" cmpd="sng" algn="ctr">
                          <a:solidFill>
                            <a:srgbClr val="4F81BD">
                              <a:shade val="50000"/>
                            </a:srgbClr>
                          </a:solidFill>
                          <a:prstDash val="solid"/>
                        </a:ln>
                        <a:effectLst/>
                      </wps:spPr>
                      <wps:txbx>
                        <w:txbxContent>
                          <w:p w:rsidR="00507FFC" w:rsidRPr="00147263" w:rsidRDefault="00507FFC" w:rsidP="00E67038">
                            <w:pPr>
                              <w:jc w:val="center"/>
                              <w:rPr>
                                <w:b/>
                                <w:color w:val="FFFFFF"/>
                                <w:sz w:val="16"/>
                                <w:szCs w:val="16"/>
                              </w:rPr>
                            </w:pPr>
                            <w:r w:rsidRPr="00147263">
                              <w:rPr>
                                <w:b/>
                                <w:color w:val="FFFFFF"/>
                                <w:sz w:val="16"/>
                                <w:szCs w:val="16"/>
                              </w:rPr>
                              <w:t>A2A S.P.A.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id="Rettangolo arrotondato 13" o:spid="_x0000_s1030" style="position:absolute;margin-left:596.1pt;margin-top:11.1pt;width:85pt;height:45.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nXdjQIAADoFAAAOAAAAZHJzL2Uyb0RvYy54bWysVEtPGzEQvlfqf7B8L5sNSYEVG5QSpaoU&#10;AQKqnide70P1elzbyS799R17NxAop6oXy+N5f9+ML6/6VrG9tK5BnfP0ZMKZ1AKLRlc5//64/nTO&#10;mfOgC1CoZc6fpONXi48fLjuTySnWqAppGQXRLutMzmvvTZYkTtSyBXeCRmpSlmhb8CTaKiksdBS9&#10;Vcl0MvmcdGgLY1FI5+h1NSj5IsYvSyn8bVk66ZnKOdXm42njuQ1nsriErLJg6kaMZcA/VNFCoynp&#10;c6gVeGA72/wVqm2ERYelPxHYJliWjZCxB+omnbzp5qEGI2MvBI4zzzC5/xdW3OzvLGsK4u6UMw0t&#10;cXQvPTFWoUIG1qJHYs8jIwNCqzMuI6cHc2dDv85sUPx0pEheaYLgRpu+tG2wpW5ZH6F/eoZe9p4J&#10;ekwnZxfzCTEkSDc/m6an85AtgezgbazzXyW2LFxybnGni3viN8IO+43zg/3BLlaHqinWjVJRsNX2&#10;Wlm2B5qF2fo8/bIaU7hjM6VZl/PpfBarAZrJUoGnwlpDKDldcQaqomEX3sbcr7zdO0li8hoKOaSm&#10;Nin0UOxoHht9FSd0sQJXDy5RNbooHeLJONtj0y9gh5vvt31kdBY8wssWiydimaiM6Dsj1g3F34Dz&#10;d2Bp3gl32mF/S0epkNrH8cZZjfb3e+/BnsaQtJx1tD8Eza8dWMmZ+qZpQC/S2SwsXBRmxCgJ9liz&#10;PdboXXuNREtKv4UR8RrsvTpcS4vtD1r1ZchKKtCCcg8kjMK1H/aaPgshl8toRktmwG/0gxEheEAu&#10;IPvY/wBrxknyNIM3eNg1yN7M0mAbPDUudx7LJg7aC67j6NOCRhrHzyT8AMdytHr58hZ/AAAA//8D&#10;AFBLAwQUAAYACAAAACEAZ3YA2tsAAAAMAQAADwAAAGRycy9kb3ducmV2LnhtbEyPwU7DMBBE70j8&#10;g7VI3KhdVyptGqcqoN6hgLi68TaJiNeR7aTh77FPcNodzWj2bbmfbc8m9KFzpGC5EMCQamc6ahR8&#10;vB8fNsBC1GR07wgV/GCAfXV7U+rCuCu94XSKDUslFAqtoI1xKDgPdYtWh4UbkJJ3cd7qmKRvuPH6&#10;msptz6UQa251R+lCqwd8brH+Po1WgRWNF5vxy34+yZqO7nV6eTxclLq/mw87YBHn+BeGjJ/QoUpM&#10;ZzeSCaxPermVMmUVyDxzYrXO2zl7cgW8Kvn/J6pfAAAA//8DAFBLAQItABQABgAIAAAAIQC2gziS&#10;/gAAAOEBAAATAAAAAAAAAAAAAAAAAAAAAABbQ29udGVudF9UeXBlc10ueG1sUEsBAi0AFAAGAAgA&#10;AAAhADj9If/WAAAAlAEAAAsAAAAAAAAAAAAAAAAALwEAAF9yZWxzLy5yZWxzUEsBAi0AFAAGAAgA&#10;AAAhAPoidd2NAgAAOgUAAA4AAAAAAAAAAAAAAAAALgIAAGRycy9lMm9Eb2MueG1sUEsBAi0AFAAG&#10;AAgAAAAhAGd2ANrbAAAADAEAAA8AAAAAAAAAAAAAAAAA5wQAAGRycy9kb3ducmV2LnhtbFBLBQYA&#10;AAAABAAEAPMAAADvBQAAAAA=&#10;" fillcolor="#4f81bd" strokecolor="#385d8a" strokeweight="2pt">
                <v:path arrowok="t"/>
                <v:textbox>
                  <w:txbxContent>
                    <w:p w:rsidR="00507FFC" w:rsidRPr="00147263" w:rsidRDefault="00507FFC" w:rsidP="00E67038">
                      <w:pPr>
                        <w:jc w:val="center"/>
                        <w:rPr>
                          <w:b/>
                          <w:color w:val="FFFFFF"/>
                          <w:sz w:val="16"/>
                          <w:szCs w:val="16"/>
                        </w:rPr>
                      </w:pPr>
                      <w:r w:rsidRPr="00147263">
                        <w:rPr>
                          <w:b/>
                          <w:color w:val="FFFFFF"/>
                          <w:sz w:val="16"/>
                          <w:szCs w:val="16"/>
                        </w:rPr>
                        <w:t>A2A S.P.A.</w:t>
                      </w:r>
                    </w:p>
                  </w:txbxContent>
                </v:textbox>
              </v:roundrect>
            </w:pict>
          </mc:Fallback>
        </mc:AlternateContent>
      </w:r>
    </w:p>
    <w:p w:rsidR="00507FFC" w:rsidRPr="00AF00C2" w:rsidRDefault="00507FFC" w:rsidP="000D7357">
      <w:pPr>
        <w:tabs>
          <w:tab w:val="left" w:pos="9016"/>
        </w:tabs>
      </w:pPr>
    </w:p>
    <w:p w:rsidR="00507FFC" w:rsidRPr="00AF00C2" w:rsidRDefault="00507FFC" w:rsidP="000D7357">
      <w:pPr>
        <w:tabs>
          <w:tab w:val="left" w:pos="9016"/>
        </w:tabs>
      </w:pPr>
    </w:p>
    <w:p w:rsidR="00507FFC" w:rsidRPr="00AF00C2" w:rsidRDefault="00507FFC" w:rsidP="000D7357">
      <w:pPr>
        <w:tabs>
          <w:tab w:val="left" w:pos="9016"/>
        </w:tabs>
      </w:pPr>
    </w:p>
    <w:p w:rsidR="00507FFC" w:rsidRPr="00AF00C2" w:rsidRDefault="00507FFC" w:rsidP="000D7357">
      <w:pPr>
        <w:tabs>
          <w:tab w:val="left" w:pos="9016"/>
        </w:tabs>
      </w:pPr>
    </w:p>
    <w:p w:rsidR="00507FFC" w:rsidRPr="00AF00C2" w:rsidRDefault="00507FFC" w:rsidP="000D7357">
      <w:pPr>
        <w:tabs>
          <w:tab w:val="left" w:pos="9016"/>
        </w:tabs>
      </w:pPr>
    </w:p>
    <w:p w:rsidR="00507FFC" w:rsidRPr="00AF00C2" w:rsidRDefault="00507FFC" w:rsidP="000D7357">
      <w:pPr>
        <w:tabs>
          <w:tab w:val="left" w:pos="9016"/>
        </w:tabs>
      </w:pPr>
    </w:p>
    <w:p w:rsidR="00507FFC" w:rsidRPr="00AF00C2" w:rsidRDefault="00507FFC" w:rsidP="004E1583">
      <w:pPr>
        <w:tabs>
          <w:tab w:val="left" w:pos="9016"/>
        </w:tabs>
        <w:spacing w:after="0" w:line="480" w:lineRule="auto"/>
        <w:jc w:val="both"/>
        <w:rPr>
          <w:rFonts w:ascii="Times New Roman" w:hAnsi="Times New Roman"/>
          <w:sz w:val="24"/>
          <w:szCs w:val="24"/>
        </w:rPr>
      </w:pPr>
    </w:p>
    <w:p w:rsidR="00507FFC" w:rsidRPr="00AF00C2" w:rsidRDefault="00507FFC" w:rsidP="004E1583">
      <w:pPr>
        <w:autoSpaceDE w:val="0"/>
        <w:autoSpaceDN w:val="0"/>
        <w:adjustRightInd w:val="0"/>
        <w:spacing w:after="0" w:line="480" w:lineRule="auto"/>
        <w:jc w:val="both"/>
        <w:rPr>
          <w:rFonts w:ascii="Times New Roman" w:hAnsi="Times New Roman"/>
          <w:color w:val="000000"/>
          <w:sz w:val="24"/>
          <w:szCs w:val="24"/>
          <w:lang w:eastAsia="it-IT"/>
        </w:rPr>
      </w:pPr>
    </w:p>
    <w:p w:rsidR="00507FFC" w:rsidRPr="00AF00C2" w:rsidRDefault="00507FFC" w:rsidP="004E1583">
      <w:pPr>
        <w:autoSpaceDE w:val="0"/>
        <w:autoSpaceDN w:val="0"/>
        <w:adjustRightInd w:val="0"/>
        <w:spacing w:after="0" w:line="480" w:lineRule="auto"/>
        <w:jc w:val="both"/>
        <w:rPr>
          <w:rFonts w:ascii="Times New Roman" w:hAnsi="Times New Roman"/>
          <w:color w:val="000000"/>
          <w:sz w:val="24"/>
          <w:szCs w:val="24"/>
          <w:lang w:eastAsia="it-IT"/>
        </w:rPr>
      </w:pPr>
    </w:p>
    <w:p w:rsidR="00507FFC" w:rsidRPr="00AF00C2" w:rsidRDefault="00507FFC" w:rsidP="004E1583">
      <w:pPr>
        <w:autoSpaceDE w:val="0"/>
        <w:autoSpaceDN w:val="0"/>
        <w:adjustRightInd w:val="0"/>
        <w:spacing w:after="0" w:line="480" w:lineRule="auto"/>
        <w:jc w:val="both"/>
        <w:rPr>
          <w:rFonts w:ascii="Times New Roman" w:hAnsi="Times New Roman"/>
          <w:color w:val="000000"/>
          <w:sz w:val="24"/>
          <w:szCs w:val="24"/>
          <w:lang w:eastAsia="it-IT"/>
        </w:rPr>
      </w:pPr>
    </w:p>
    <w:p w:rsidR="00507FFC" w:rsidRPr="00AF00C2" w:rsidRDefault="00507FFC" w:rsidP="004E1583">
      <w:pPr>
        <w:autoSpaceDE w:val="0"/>
        <w:autoSpaceDN w:val="0"/>
        <w:adjustRightInd w:val="0"/>
        <w:spacing w:after="0" w:line="480" w:lineRule="auto"/>
        <w:jc w:val="both"/>
        <w:rPr>
          <w:rFonts w:ascii="Times New Roman" w:hAnsi="Times New Roman"/>
          <w:color w:val="000000"/>
          <w:sz w:val="24"/>
          <w:szCs w:val="24"/>
          <w:lang w:eastAsia="it-IT"/>
        </w:rPr>
      </w:pPr>
    </w:p>
    <w:p w:rsidR="00507FFC" w:rsidRPr="00AF00C2" w:rsidRDefault="00507FFC" w:rsidP="004E1583">
      <w:pPr>
        <w:autoSpaceDE w:val="0"/>
        <w:autoSpaceDN w:val="0"/>
        <w:adjustRightInd w:val="0"/>
        <w:spacing w:after="0" w:line="480" w:lineRule="auto"/>
        <w:jc w:val="both"/>
        <w:rPr>
          <w:rFonts w:ascii="Times New Roman" w:hAnsi="Times New Roman"/>
          <w:color w:val="000000"/>
          <w:sz w:val="24"/>
          <w:szCs w:val="24"/>
          <w:lang w:eastAsia="it-IT"/>
        </w:rPr>
      </w:pPr>
    </w:p>
    <w:p w:rsidR="00507FFC" w:rsidRPr="00AF00C2" w:rsidRDefault="00507FFC" w:rsidP="004E1583">
      <w:pPr>
        <w:autoSpaceDE w:val="0"/>
        <w:autoSpaceDN w:val="0"/>
        <w:adjustRightInd w:val="0"/>
        <w:spacing w:after="0" w:line="480" w:lineRule="auto"/>
        <w:jc w:val="both"/>
        <w:rPr>
          <w:rFonts w:ascii="Times New Roman" w:hAnsi="Times New Roman"/>
          <w:color w:val="000000"/>
          <w:sz w:val="24"/>
          <w:szCs w:val="24"/>
          <w:lang w:eastAsia="it-IT"/>
        </w:rPr>
      </w:pPr>
    </w:p>
    <w:p w:rsidR="00507FFC" w:rsidRPr="00AF00C2" w:rsidRDefault="00507FFC" w:rsidP="004E1583">
      <w:pPr>
        <w:autoSpaceDE w:val="0"/>
        <w:autoSpaceDN w:val="0"/>
        <w:adjustRightInd w:val="0"/>
        <w:spacing w:after="0" w:line="480" w:lineRule="auto"/>
        <w:jc w:val="both"/>
        <w:rPr>
          <w:rFonts w:ascii="Times New Roman" w:hAnsi="Times New Roman"/>
          <w:color w:val="000000"/>
          <w:sz w:val="24"/>
          <w:szCs w:val="24"/>
          <w:lang w:eastAsia="it-IT"/>
        </w:rPr>
      </w:pPr>
    </w:p>
    <w:p w:rsidR="00507FFC" w:rsidRPr="00AF00C2" w:rsidRDefault="00507FFC" w:rsidP="004E1583">
      <w:pPr>
        <w:autoSpaceDE w:val="0"/>
        <w:autoSpaceDN w:val="0"/>
        <w:adjustRightInd w:val="0"/>
        <w:spacing w:after="0" w:line="480" w:lineRule="auto"/>
        <w:jc w:val="both"/>
        <w:rPr>
          <w:rFonts w:ascii="Times New Roman" w:hAnsi="Times New Roman"/>
          <w:color w:val="000000"/>
          <w:sz w:val="24"/>
          <w:szCs w:val="24"/>
          <w:lang w:eastAsia="it-IT"/>
        </w:rPr>
      </w:pPr>
    </w:p>
    <w:p w:rsidR="00507FFC" w:rsidRPr="00AF00C2" w:rsidRDefault="00507FFC" w:rsidP="004E1583">
      <w:pPr>
        <w:autoSpaceDE w:val="0"/>
        <w:autoSpaceDN w:val="0"/>
        <w:adjustRightInd w:val="0"/>
        <w:spacing w:after="0" w:line="480" w:lineRule="auto"/>
        <w:jc w:val="both"/>
        <w:rPr>
          <w:rFonts w:ascii="Times New Roman" w:hAnsi="Times New Roman"/>
          <w:color w:val="000000"/>
          <w:sz w:val="24"/>
          <w:szCs w:val="24"/>
          <w:lang w:eastAsia="it-IT"/>
        </w:rPr>
      </w:pPr>
    </w:p>
    <w:p w:rsidR="00507FFC" w:rsidRPr="00AF00C2" w:rsidRDefault="00507FFC" w:rsidP="004E1583">
      <w:pPr>
        <w:autoSpaceDE w:val="0"/>
        <w:autoSpaceDN w:val="0"/>
        <w:adjustRightInd w:val="0"/>
        <w:spacing w:after="0" w:line="480" w:lineRule="auto"/>
        <w:jc w:val="both"/>
        <w:rPr>
          <w:rFonts w:ascii="Times New Roman" w:hAnsi="Times New Roman"/>
          <w:color w:val="000000"/>
          <w:sz w:val="24"/>
          <w:szCs w:val="24"/>
          <w:lang w:eastAsia="it-IT"/>
        </w:rPr>
      </w:pPr>
    </w:p>
    <w:p w:rsidR="00507FFC" w:rsidRPr="00AF00C2" w:rsidRDefault="00507FFC" w:rsidP="002E3A43">
      <w:pPr>
        <w:pStyle w:val="Default"/>
        <w:spacing w:line="360" w:lineRule="auto"/>
        <w:rPr>
          <w:rFonts w:ascii="Times New Roman" w:hAnsi="Times New Roman" w:cs="Times New Roman"/>
          <w:b/>
          <w:color w:val="auto"/>
        </w:rPr>
      </w:pPr>
      <w:r>
        <w:rPr>
          <w:rFonts w:ascii="Times New Roman" w:hAnsi="Times New Roman" w:cs="Times New Roman"/>
          <w:b/>
          <w:color w:val="auto"/>
        </w:rPr>
        <w:lastRenderedPageBreak/>
        <w:t>2.4</w:t>
      </w:r>
      <w:r w:rsidRPr="00AF00C2">
        <w:rPr>
          <w:rFonts w:ascii="Times New Roman" w:hAnsi="Times New Roman" w:cs="Times New Roman"/>
          <w:b/>
          <w:color w:val="auto"/>
        </w:rPr>
        <w:t xml:space="preserve">  </w:t>
      </w:r>
      <w:r>
        <w:rPr>
          <w:rFonts w:ascii="Times New Roman" w:hAnsi="Times New Roman" w:cs="Times New Roman"/>
          <w:b/>
          <w:color w:val="auto"/>
        </w:rPr>
        <w:t>O</w:t>
      </w:r>
      <w:r w:rsidRPr="00AF00C2">
        <w:rPr>
          <w:rFonts w:ascii="Times New Roman" w:hAnsi="Times New Roman" w:cs="Times New Roman"/>
          <w:b/>
        </w:rPr>
        <w:t>rganismi non societari</w:t>
      </w:r>
    </w:p>
    <w:p w:rsidR="00507FFC" w:rsidRDefault="00507FFC" w:rsidP="004E1583">
      <w:pPr>
        <w:autoSpaceDE w:val="0"/>
        <w:autoSpaceDN w:val="0"/>
        <w:adjustRightInd w:val="0"/>
        <w:spacing w:after="0" w:line="480" w:lineRule="auto"/>
        <w:jc w:val="both"/>
        <w:rPr>
          <w:rFonts w:ascii="Times New Roman" w:hAnsi="Times New Roman"/>
          <w:sz w:val="24"/>
          <w:szCs w:val="24"/>
          <w:lang w:eastAsia="it-IT"/>
        </w:rPr>
      </w:pPr>
      <w:r w:rsidRPr="004E1583">
        <w:rPr>
          <w:rFonts w:ascii="Times New Roman" w:hAnsi="Times New Roman"/>
          <w:color w:val="000000"/>
          <w:sz w:val="24"/>
          <w:szCs w:val="24"/>
          <w:lang w:eastAsia="it-IT"/>
        </w:rPr>
        <w:t>La deliberazione Corte dei conti Lazio n. 47/2021 GEST, richiamando il manuale operativo predisposto dal MEF per supportare il censimento delle partecipazioni, contiene una raccomandazione innovativa rispetto alla prassi consolidatasi negli anni</w:t>
      </w:r>
      <w:r w:rsidRPr="00AF00C2">
        <w:rPr>
          <w:rFonts w:ascii="Times New Roman" w:hAnsi="Times New Roman"/>
          <w:color w:val="000000"/>
          <w:sz w:val="24"/>
          <w:szCs w:val="24"/>
          <w:lang w:eastAsia="it-IT"/>
        </w:rPr>
        <w:t xml:space="preserve"> precedenti</w:t>
      </w:r>
      <w:r w:rsidRPr="004E1583">
        <w:rPr>
          <w:rFonts w:ascii="Times New Roman" w:hAnsi="Times New Roman"/>
          <w:color w:val="000000"/>
          <w:sz w:val="24"/>
          <w:szCs w:val="24"/>
          <w:lang w:eastAsia="it-IT"/>
        </w:rPr>
        <w:t xml:space="preserve">: sebbene le disposizioni del TUSP siano applicabili direttamente nei confronti delle società di capitali, l’attività di ricognizione propedeutica alla predisposizione del piano di razionalizzazione deve considerare anche le partecipazioni in altri organismi strumentali; tale estensione è funzionale a verificare in particolare l’eventuale presenza di partecipate che, a prescindere dalla loro natura giuridica, svolgano attività similari e ad adottare le conseguenti misure di razionalizzazione. </w:t>
      </w:r>
      <w:r w:rsidRPr="00AF00C2">
        <w:rPr>
          <w:rFonts w:ascii="Times New Roman" w:hAnsi="Times New Roman"/>
          <w:color w:val="000000"/>
          <w:sz w:val="24"/>
          <w:szCs w:val="24"/>
          <w:lang w:eastAsia="it-IT"/>
        </w:rPr>
        <w:t xml:space="preserve"> La</w:t>
      </w:r>
      <w:r w:rsidRPr="004E1583">
        <w:rPr>
          <w:rFonts w:ascii="Times New Roman" w:hAnsi="Times New Roman"/>
          <w:color w:val="000000"/>
          <w:sz w:val="24"/>
          <w:szCs w:val="24"/>
          <w:lang w:eastAsia="it-IT"/>
        </w:rPr>
        <w:t xml:space="preserve"> </w:t>
      </w:r>
      <w:r w:rsidRPr="00AF00C2">
        <w:rPr>
          <w:rFonts w:ascii="Times New Roman" w:hAnsi="Times New Roman"/>
          <w:color w:val="000000"/>
          <w:sz w:val="24"/>
          <w:szCs w:val="24"/>
          <w:lang w:eastAsia="it-IT"/>
        </w:rPr>
        <w:t>d</w:t>
      </w:r>
      <w:r w:rsidRPr="004E1583">
        <w:rPr>
          <w:rFonts w:ascii="Times New Roman" w:hAnsi="Times New Roman"/>
          <w:color w:val="000000"/>
          <w:sz w:val="24"/>
          <w:szCs w:val="24"/>
          <w:lang w:eastAsia="it-IT"/>
        </w:rPr>
        <w:t xml:space="preserve">eliberazione Corte dei conti Lazio n. 47/2021 GEST </w:t>
      </w:r>
      <w:r w:rsidRPr="00AF00C2">
        <w:rPr>
          <w:rFonts w:ascii="Times New Roman" w:hAnsi="Times New Roman"/>
          <w:color w:val="000000"/>
          <w:sz w:val="24"/>
          <w:szCs w:val="24"/>
          <w:lang w:eastAsia="it-IT"/>
        </w:rPr>
        <w:t xml:space="preserve">infatti evidenzia che </w:t>
      </w:r>
      <w:r w:rsidRPr="004E1583">
        <w:rPr>
          <w:rFonts w:ascii="Times New Roman" w:hAnsi="Times New Roman"/>
          <w:color w:val="000000"/>
          <w:sz w:val="24"/>
          <w:szCs w:val="24"/>
          <w:lang w:eastAsia="it-IT"/>
        </w:rPr>
        <w:t>“</w:t>
      </w:r>
      <w:r w:rsidRPr="004E1583">
        <w:rPr>
          <w:rFonts w:ascii="Times New Roman" w:hAnsi="Times New Roman"/>
          <w:i/>
          <w:iCs/>
          <w:color w:val="000000"/>
          <w:sz w:val="24"/>
          <w:szCs w:val="24"/>
          <w:lang w:eastAsia="it-IT"/>
        </w:rPr>
        <w:t xml:space="preserve">Nella relazione di deferimento, è stata inoltre rilevata l’incompletezza delle ricognizioni effettuate sotto il profilo della mancata inclusione degli </w:t>
      </w:r>
      <w:r w:rsidRPr="004E1583">
        <w:rPr>
          <w:rFonts w:ascii="Times New Roman" w:hAnsi="Times New Roman"/>
          <w:b/>
          <w:i/>
          <w:iCs/>
          <w:color w:val="000000"/>
          <w:sz w:val="24"/>
          <w:szCs w:val="24"/>
          <w:u w:val="single"/>
          <w:lang w:eastAsia="it-IT"/>
        </w:rPr>
        <w:t>organismi partecipati privi di forma societaria</w:t>
      </w:r>
      <w:r w:rsidRPr="004E1583">
        <w:rPr>
          <w:rFonts w:ascii="Times New Roman" w:hAnsi="Times New Roman"/>
          <w:i/>
          <w:iCs/>
          <w:color w:val="000000"/>
          <w:sz w:val="24"/>
          <w:szCs w:val="24"/>
          <w:lang w:eastAsia="it-IT"/>
        </w:rPr>
        <w:t xml:space="preserve">. Veniva in proposito osservato che, ai sensi dell’art. 20, comma 2, del TUSP, i piani di razionalizzazione sono adottati ove, in sede di ricognizione delle partecipazioni, l’Amministrazione socia rilevi “partecipazioni in società che svolgono attività analoghe o similari a quelle svolte da altre società partecipate o </w:t>
      </w:r>
      <w:r w:rsidRPr="004E1583">
        <w:rPr>
          <w:rFonts w:ascii="Times New Roman" w:hAnsi="Times New Roman"/>
          <w:b/>
          <w:i/>
          <w:iCs/>
          <w:color w:val="000000"/>
          <w:sz w:val="24"/>
          <w:szCs w:val="24"/>
          <w:u w:val="single"/>
          <w:lang w:eastAsia="it-IT"/>
        </w:rPr>
        <w:t>da enti pubblici strumentali</w:t>
      </w:r>
      <w:r w:rsidRPr="004E1583">
        <w:rPr>
          <w:rFonts w:ascii="Times New Roman" w:hAnsi="Times New Roman"/>
          <w:i/>
          <w:iCs/>
          <w:color w:val="000000"/>
          <w:sz w:val="24"/>
          <w:szCs w:val="24"/>
          <w:lang w:eastAsia="it-IT"/>
        </w:rPr>
        <w:t xml:space="preserve">” (cfr. art. 20, comma 2, lett. c), del TUSP). Alla luce della richiamata norma </w:t>
      </w:r>
      <w:r w:rsidRPr="004E1583">
        <w:rPr>
          <w:rFonts w:ascii="Times New Roman" w:hAnsi="Times New Roman"/>
          <w:b/>
          <w:i/>
          <w:iCs/>
          <w:color w:val="000000"/>
          <w:sz w:val="24"/>
          <w:szCs w:val="24"/>
          <w:u w:val="single"/>
          <w:lang w:eastAsia="it-IT"/>
        </w:rPr>
        <w:t>appare necessario</w:t>
      </w:r>
      <w:r w:rsidRPr="004E1583">
        <w:rPr>
          <w:rFonts w:ascii="Times New Roman" w:hAnsi="Times New Roman"/>
          <w:i/>
          <w:iCs/>
          <w:color w:val="000000"/>
          <w:sz w:val="24"/>
          <w:szCs w:val="24"/>
          <w:lang w:eastAsia="it-IT"/>
        </w:rPr>
        <w:t xml:space="preserve"> che in sede di ricognizione periodica delle partecipazioni vengano inclusi anche gli “</w:t>
      </w:r>
      <w:r w:rsidRPr="004E1583">
        <w:rPr>
          <w:rFonts w:ascii="Times New Roman" w:hAnsi="Times New Roman"/>
          <w:b/>
          <w:i/>
          <w:iCs/>
          <w:color w:val="000000"/>
          <w:sz w:val="24"/>
          <w:szCs w:val="24"/>
          <w:u w:val="single"/>
          <w:lang w:eastAsia="it-IT"/>
        </w:rPr>
        <w:t>enti pubblici strumentali</w:t>
      </w:r>
      <w:r w:rsidRPr="004E1583">
        <w:rPr>
          <w:rFonts w:ascii="Times New Roman" w:hAnsi="Times New Roman"/>
          <w:i/>
          <w:iCs/>
          <w:color w:val="000000"/>
          <w:sz w:val="24"/>
          <w:szCs w:val="24"/>
          <w:lang w:eastAsia="it-IT"/>
        </w:rPr>
        <w:t>” (aziende speciali e istituzioni) per le conseguenti valutazioni di profili di analogia o similarità con le attività svolte da altri soggetti partecipati, per la loro conseguente razionalizzazione.</w:t>
      </w:r>
      <w:r w:rsidRPr="00AF00C2">
        <w:rPr>
          <w:rFonts w:ascii="Times New Roman" w:hAnsi="Times New Roman"/>
          <w:i/>
          <w:iCs/>
          <w:color w:val="000000"/>
          <w:sz w:val="24"/>
          <w:szCs w:val="24"/>
          <w:lang w:eastAsia="it-IT"/>
        </w:rPr>
        <w:t xml:space="preserve"> </w:t>
      </w:r>
      <w:r w:rsidRPr="004E1583">
        <w:rPr>
          <w:rFonts w:ascii="Times New Roman" w:hAnsi="Times New Roman"/>
          <w:i/>
          <w:iCs/>
          <w:color w:val="000000"/>
          <w:sz w:val="24"/>
          <w:szCs w:val="24"/>
          <w:lang w:eastAsia="it-IT"/>
        </w:rPr>
        <w:t xml:space="preserve">La necessità di censire anche partecipazioni non societarie risulta peraltro confermata dal “manuale operativo” adottato periodicamente dal MEF, da ultimo in data 3.3.2021, secondo cui nel censire le </w:t>
      </w:r>
      <w:r w:rsidRPr="00AF00C2">
        <w:rPr>
          <w:rFonts w:ascii="Times New Roman" w:hAnsi="Times New Roman"/>
          <w:i/>
          <w:iCs/>
          <w:sz w:val="24"/>
          <w:szCs w:val="24"/>
          <w:lang w:eastAsia="it-IT"/>
        </w:rPr>
        <w:t xml:space="preserve">proprie partecipazioni non societarie, gli enti territoriali devono indicare almeno gli </w:t>
      </w:r>
      <w:r w:rsidRPr="00AF00C2">
        <w:rPr>
          <w:rFonts w:ascii="Times New Roman" w:hAnsi="Times New Roman"/>
          <w:b/>
          <w:i/>
          <w:iCs/>
          <w:sz w:val="24"/>
          <w:szCs w:val="24"/>
          <w:u w:val="single"/>
          <w:lang w:eastAsia="it-IT"/>
        </w:rPr>
        <w:t>organismi partecipati inseriti nell’elenco 1 (Gruppo Amministrazione Pubblica)</w:t>
      </w:r>
      <w:r w:rsidRPr="00AF00C2">
        <w:rPr>
          <w:rFonts w:ascii="Times New Roman" w:hAnsi="Times New Roman"/>
          <w:i/>
          <w:iCs/>
          <w:sz w:val="24"/>
          <w:szCs w:val="24"/>
          <w:lang w:eastAsia="it-IT"/>
        </w:rPr>
        <w:t xml:space="preserve"> di cui al principio contabile applicato concernente il bilancio consolidato (all. 4/4, al d.lgs. n. 118/2011, par. 3.1.). </w:t>
      </w:r>
      <w:r w:rsidRPr="00AF00C2">
        <w:rPr>
          <w:rFonts w:ascii="Times New Roman" w:hAnsi="Times New Roman"/>
          <w:b/>
          <w:i/>
          <w:iCs/>
          <w:sz w:val="24"/>
          <w:szCs w:val="24"/>
          <w:u w:val="single"/>
          <w:lang w:eastAsia="it-IT"/>
        </w:rPr>
        <w:t>Occorre, pertanto, includere nelle ricognizioni annuali i consorzi, le fondazioni, aziende speciali, associazioni, istituzioni, enti pubblici economici e non economici.</w:t>
      </w:r>
      <w:r w:rsidRPr="00AF00C2">
        <w:rPr>
          <w:rFonts w:ascii="Times New Roman" w:hAnsi="Times New Roman"/>
          <w:sz w:val="24"/>
          <w:szCs w:val="24"/>
          <w:lang w:eastAsia="it-IT"/>
        </w:rPr>
        <w:t>”</w:t>
      </w:r>
    </w:p>
    <w:p w:rsidR="00507FFC" w:rsidRPr="00FB6EAC" w:rsidRDefault="00507FFC" w:rsidP="004E1583">
      <w:pPr>
        <w:autoSpaceDE w:val="0"/>
        <w:autoSpaceDN w:val="0"/>
        <w:adjustRightInd w:val="0"/>
        <w:spacing w:after="0" w:line="480" w:lineRule="auto"/>
        <w:jc w:val="both"/>
        <w:rPr>
          <w:rFonts w:ascii="Times New Roman" w:hAnsi="Times New Roman"/>
          <w:sz w:val="24"/>
          <w:szCs w:val="24"/>
          <w:lang w:eastAsia="it-IT"/>
        </w:rPr>
      </w:pPr>
      <w:r w:rsidRPr="00FB6EAC">
        <w:rPr>
          <w:rFonts w:ascii="Times New Roman" w:hAnsi="Times New Roman"/>
          <w:sz w:val="24"/>
          <w:szCs w:val="24"/>
        </w:rPr>
        <w:lastRenderedPageBreak/>
        <w:t>Tale impostazione è stata di recente confermata dalla Corte dei Conti sezione regionale di controllo per l’Emilia Romagna - Deliberazione n. 43/2025/PAR, che ha ricordato che “</w:t>
      </w:r>
      <w:r w:rsidRPr="00FB6EAC">
        <w:rPr>
          <w:rFonts w:ascii="Times New Roman" w:hAnsi="Times New Roman"/>
          <w:i/>
          <w:sz w:val="24"/>
          <w:szCs w:val="24"/>
        </w:rPr>
        <w:t>la Sezione delle Autonomie (del. n. 22/2018 recante Linee Guida sulle Metodologie di controllo, nell’ambito dell’attività di ricognizione di cui all’art. 20, c. 2, T.U.S.P.), prevede che le Pubbliche Amministrazioni rilevino il ricorrere dei presupposti di cui alla disposizione in commento, anche in relazione allo «Svolgimento di attività analoghe o similari a quelle svolte da altre società partecipate o da enti pubblici strumentali (art. 20, c. 2, lett. c)», accostando, agli effetti della norma, le attività svolte da tali enti (tra cui sono comprese le aziende speciali) a quelle delle società partecipate. In tal senso si orientano anche le Sezioni territoriali (le cui decisioni vengono chiamate dal Comune istante) che affermano il principio in base al quale «. . . l’obbligo di razionalizzazione si configura quando si verifica uno o più dei presupposti previsti dall’art. 20, comma 2, lettere a) – g) del TUSP» (cfr. Sez. reg. di controllo Lazio, del n. 47/2021/GEST; Sez. reg. di controllo Campania, del. n. 240/2023/VSG). Ancor più nello specifico, la Sezione delle Autonomie (del. n.10/2024) ha avuto modo di chiarire (e definitivamente) che «Nel novero della verifica vengono considerati tutti gli organismi partecipati monitorati dalla Corte dei conti, i quali compongono il gruppo “amministrazione pubblica territoriale”. In tale ambito rientrano società di capitali, fondazioni, consorzi, enti e organismi strumentali, nonché le aziende speciali, a cui si applicano alcune disposizioni in materia di società pubbliche (art. 1, c. 550 e ss., l. n. 147/2013), e le istituzioni disciplinate dal</w:t>
      </w:r>
      <w:r>
        <w:rPr>
          <w:rFonts w:ascii="Times New Roman" w:hAnsi="Times New Roman"/>
          <w:i/>
          <w:sz w:val="24"/>
          <w:szCs w:val="24"/>
        </w:rPr>
        <w:t>l’art. 114, d.lgs. n. 267/2000</w:t>
      </w:r>
      <w:r w:rsidRPr="00FB6EAC">
        <w:rPr>
          <w:rFonts w:ascii="Times New Roman" w:hAnsi="Times New Roman"/>
          <w:i/>
          <w:sz w:val="24"/>
          <w:szCs w:val="24"/>
        </w:rPr>
        <w:t>, aventi natura, rispettivamente, di ente pubblico economico e di organismo strumentale dell’ente locale . . . ».</w:t>
      </w:r>
      <w:r>
        <w:rPr>
          <w:rFonts w:ascii="Times New Roman" w:hAnsi="Times New Roman"/>
          <w:i/>
          <w:sz w:val="24"/>
          <w:szCs w:val="24"/>
        </w:rPr>
        <w:t>”</w:t>
      </w:r>
    </w:p>
    <w:p w:rsidR="00507FFC" w:rsidRPr="00AF00C2" w:rsidRDefault="00507FFC" w:rsidP="004E1583">
      <w:pPr>
        <w:autoSpaceDE w:val="0"/>
        <w:autoSpaceDN w:val="0"/>
        <w:adjustRightInd w:val="0"/>
        <w:spacing w:after="0" w:line="480" w:lineRule="auto"/>
        <w:jc w:val="both"/>
        <w:rPr>
          <w:rFonts w:ascii="Times New Roman" w:hAnsi="Times New Roman"/>
          <w:color w:val="000000"/>
          <w:sz w:val="24"/>
          <w:szCs w:val="24"/>
          <w:lang w:eastAsia="it-IT"/>
        </w:rPr>
      </w:pPr>
      <w:r w:rsidRPr="00AF00C2">
        <w:rPr>
          <w:rFonts w:ascii="Times New Roman" w:hAnsi="Times New Roman"/>
          <w:sz w:val="24"/>
          <w:szCs w:val="24"/>
          <w:lang w:eastAsia="it-IT"/>
        </w:rPr>
        <w:t>I</w:t>
      </w:r>
      <w:r w:rsidRPr="00AF00C2">
        <w:rPr>
          <w:rFonts w:ascii="Times New Roman" w:hAnsi="Times New Roman"/>
          <w:color w:val="000000"/>
          <w:sz w:val="24"/>
          <w:szCs w:val="24"/>
          <w:lang w:eastAsia="it-IT"/>
        </w:rPr>
        <w:t>l Comune d</w:t>
      </w:r>
      <w:r w:rsidRPr="004E1583">
        <w:rPr>
          <w:rFonts w:ascii="Times New Roman" w:hAnsi="Times New Roman"/>
          <w:color w:val="000000"/>
          <w:sz w:val="24"/>
          <w:szCs w:val="24"/>
          <w:lang w:eastAsia="it-IT"/>
        </w:rPr>
        <w:t xml:space="preserve">i </w:t>
      </w:r>
      <w:r w:rsidRPr="00AF00C2">
        <w:rPr>
          <w:rFonts w:ascii="Times New Roman" w:hAnsi="Times New Roman"/>
          <w:color w:val="000000"/>
          <w:sz w:val="24"/>
          <w:szCs w:val="24"/>
          <w:lang w:eastAsia="it-IT"/>
        </w:rPr>
        <w:t>Pavia, alla luce di tali indicazioni</w:t>
      </w:r>
      <w:r w:rsidRPr="004E1583">
        <w:rPr>
          <w:rFonts w:ascii="Times New Roman" w:hAnsi="Times New Roman"/>
          <w:color w:val="000000"/>
          <w:sz w:val="24"/>
          <w:szCs w:val="24"/>
          <w:lang w:eastAsia="it-IT"/>
        </w:rPr>
        <w:t xml:space="preserve"> della Corte dei Conti</w:t>
      </w:r>
      <w:r w:rsidRPr="00AF00C2">
        <w:rPr>
          <w:rFonts w:ascii="Times New Roman" w:hAnsi="Times New Roman"/>
          <w:color w:val="000000"/>
          <w:sz w:val="24"/>
          <w:szCs w:val="24"/>
          <w:lang w:eastAsia="it-IT"/>
        </w:rPr>
        <w:t xml:space="preserve">, </w:t>
      </w:r>
      <w:r w:rsidRPr="004E1583">
        <w:rPr>
          <w:rFonts w:ascii="Times New Roman" w:hAnsi="Times New Roman"/>
          <w:color w:val="000000"/>
          <w:sz w:val="24"/>
          <w:szCs w:val="24"/>
          <w:lang w:eastAsia="it-IT"/>
        </w:rPr>
        <w:t>provvede a integrare il Piano di razionalizzazione delle Società partecipate con la rappresentazione degli enti non societari com</w:t>
      </w:r>
      <w:r w:rsidRPr="00022FE9">
        <w:rPr>
          <w:rFonts w:ascii="Times New Roman" w:hAnsi="Times New Roman"/>
          <w:sz w:val="24"/>
          <w:szCs w:val="24"/>
          <w:lang w:eastAsia="it-IT"/>
        </w:rPr>
        <w:t>presi nel Gruppo Amministrazione Pubblica definito dalla delibera di Giunta 20/11/2025 n.</w:t>
      </w:r>
      <w:r w:rsidR="00022FE9" w:rsidRPr="00022FE9">
        <w:rPr>
          <w:rFonts w:ascii="Times New Roman" w:hAnsi="Times New Roman"/>
          <w:sz w:val="24"/>
          <w:szCs w:val="24"/>
          <w:lang w:eastAsia="it-IT"/>
        </w:rPr>
        <w:t xml:space="preserve"> 682</w:t>
      </w:r>
      <w:r>
        <w:rPr>
          <w:rFonts w:ascii="Times New Roman" w:hAnsi="Times New Roman"/>
          <w:color w:val="000000"/>
          <w:sz w:val="24"/>
          <w:szCs w:val="24"/>
          <w:lang w:eastAsia="it-IT"/>
        </w:rPr>
        <w:t>.</w:t>
      </w:r>
    </w:p>
    <w:p w:rsidR="00507FFC" w:rsidRDefault="00507FFC" w:rsidP="00CA7C02">
      <w:pPr>
        <w:autoSpaceDE w:val="0"/>
        <w:autoSpaceDN w:val="0"/>
        <w:adjustRightInd w:val="0"/>
        <w:spacing w:after="0" w:line="240" w:lineRule="auto"/>
        <w:rPr>
          <w:rFonts w:ascii="Times New Roman" w:hAnsi="Times New Roman"/>
          <w:color w:val="000000"/>
          <w:sz w:val="24"/>
          <w:szCs w:val="24"/>
          <w:lang w:eastAsia="it-IT"/>
        </w:rPr>
      </w:pPr>
      <w:r w:rsidRPr="00CA7C02">
        <w:rPr>
          <w:rFonts w:ascii="Times New Roman" w:hAnsi="Times New Roman"/>
          <w:color w:val="000000"/>
          <w:sz w:val="24"/>
          <w:szCs w:val="24"/>
          <w:lang w:eastAsia="it-IT"/>
        </w:rPr>
        <w:t>Si tratta dei seguenti organismi</w:t>
      </w:r>
      <w:r w:rsidRPr="00AF00C2">
        <w:rPr>
          <w:rFonts w:ascii="Times New Roman" w:hAnsi="Times New Roman"/>
          <w:bCs/>
          <w:sz w:val="24"/>
          <w:szCs w:val="24"/>
          <w:lang w:eastAsia="it-IT"/>
        </w:rPr>
        <w:t xml:space="preserve"> strumentali</w:t>
      </w:r>
      <w:r w:rsidRPr="00CA7C02">
        <w:rPr>
          <w:rFonts w:ascii="Times New Roman" w:hAnsi="Times New Roman"/>
          <w:color w:val="000000"/>
          <w:sz w:val="24"/>
          <w:szCs w:val="24"/>
          <w:lang w:eastAsia="it-IT"/>
        </w:rPr>
        <w:t xml:space="preserve">: </w:t>
      </w:r>
    </w:p>
    <w:p w:rsidR="00AA01F1" w:rsidRPr="00AA01F1" w:rsidRDefault="00AA01F1" w:rsidP="00CA7C02">
      <w:pPr>
        <w:autoSpaceDE w:val="0"/>
        <w:autoSpaceDN w:val="0"/>
        <w:adjustRightInd w:val="0"/>
        <w:spacing w:after="0" w:line="240" w:lineRule="auto"/>
        <w:rPr>
          <w:rFonts w:ascii="Times New Roman" w:hAnsi="Times New Roman"/>
          <w:color w:val="000000"/>
          <w:sz w:val="12"/>
          <w:szCs w:val="12"/>
          <w:lang w:eastAsia="it-IT"/>
        </w:rPr>
      </w:pPr>
    </w:p>
    <w:p w:rsidR="00507FFC" w:rsidRPr="00AF00C2" w:rsidRDefault="00507FFC" w:rsidP="00CA7C02">
      <w:pPr>
        <w:autoSpaceDE w:val="0"/>
        <w:autoSpaceDN w:val="0"/>
        <w:adjustRightInd w:val="0"/>
        <w:spacing w:after="0" w:line="240" w:lineRule="auto"/>
        <w:rPr>
          <w:rFonts w:ascii="Times New Roman" w:hAnsi="Times New Roman"/>
          <w:b/>
          <w:sz w:val="24"/>
          <w:szCs w:val="24"/>
          <w:lang w:eastAsia="it-IT"/>
        </w:rPr>
      </w:pPr>
      <w:r w:rsidRPr="00AF00C2">
        <w:rPr>
          <w:rFonts w:ascii="Times New Roman" w:hAnsi="Times New Roman"/>
          <w:b/>
          <w:bCs/>
          <w:sz w:val="24"/>
          <w:szCs w:val="24"/>
          <w:lang w:eastAsia="it-IT"/>
        </w:rPr>
        <w:t xml:space="preserve">Enti </w:t>
      </w:r>
      <w:r w:rsidRPr="00AF00C2">
        <w:rPr>
          <w:rFonts w:ascii="Times New Roman" w:hAnsi="Times New Roman"/>
          <w:b/>
          <w:sz w:val="24"/>
          <w:szCs w:val="24"/>
          <w:lang w:eastAsia="it-IT"/>
        </w:rPr>
        <w:t>Controllati</w:t>
      </w:r>
    </w:p>
    <w:p w:rsidR="00507FFC" w:rsidRPr="00AF00C2" w:rsidRDefault="00507FFC" w:rsidP="00CA7C02">
      <w:pPr>
        <w:autoSpaceDE w:val="0"/>
        <w:autoSpaceDN w:val="0"/>
        <w:adjustRightInd w:val="0"/>
        <w:spacing w:after="0" w:line="240" w:lineRule="auto"/>
        <w:rPr>
          <w:rFonts w:ascii="Times New Roman" w:hAnsi="Times New Roman"/>
          <w:sz w:val="24"/>
          <w:szCs w:val="24"/>
          <w:lang w:eastAsia="it-IT"/>
        </w:rPr>
      </w:pPr>
    </w:p>
    <w:p w:rsidR="00507FFC" w:rsidRPr="00AF00C2" w:rsidRDefault="00507FFC" w:rsidP="002E3A43">
      <w:pPr>
        <w:numPr>
          <w:ilvl w:val="0"/>
          <w:numId w:val="9"/>
        </w:numPr>
        <w:autoSpaceDE w:val="0"/>
        <w:autoSpaceDN w:val="0"/>
        <w:adjustRightInd w:val="0"/>
        <w:spacing w:after="0" w:line="480" w:lineRule="auto"/>
        <w:rPr>
          <w:rFonts w:ascii="Times New Roman" w:hAnsi="Times New Roman"/>
          <w:sz w:val="24"/>
          <w:szCs w:val="24"/>
          <w:lang w:eastAsia="it-IT"/>
        </w:rPr>
      </w:pPr>
      <w:r w:rsidRPr="00AF00C2">
        <w:rPr>
          <w:rFonts w:ascii="Times New Roman" w:hAnsi="Times New Roman"/>
          <w:sz w:val="24"/>
          <w:szCs w:val="24"/>
          <w:lang w:eastAsia="it-IT"/>
        </w:rPr>
        <w:t>Azienda Speciale Apolf - Agenzia Provinciale per l’orientamento, il Lavoro e la Formazione</w:t>
      </w:r>
    </w:p>
    <w:p w:rsidR="00507FFC" w:rsidRPr="00AF00C2" w:rsidRDefault="00507FFC" w:rsidP="002E3A43">
      <w:pPr>
        <w:numPr>
          <w:ilvl w:val="0"/>
          <w:numId w:val="9"/>
        </w:numPr>
        <w:autoSpaceDE w:val="0"/>
        <w:autoSpaceDN w:val="0"/>
        <w:adjustRightInd w:val="0"/>
        <w:spacing w:after="0" w:line="480" w:lineRule="auto"/>
        <w:rPr>
          <w:rFonts w:ascii="Times New Roman" w:hAnsi="Times New Roman"/>
          <w:sz w:val="24"/>
          <w:szCs w:val="24"/>
          <w:lang w:eastAsia="it-IT"/>
        </w:rPr>
      </w:pPr>
      <w:r w:rsidRPr="00AF00C2">
        <w:rPr>
          <w:rFonts w:ascii="Times New Roman" w:hAnsi="Times New Roman"/>
          <w:sz w:val="24"/>
          <w:szCs w:val="24"/>
          <w:lang w:eastAsia="it-IT"/>
        </w:rPr>
        <w:lastRenderedPageBreak/>
        <w:t>Consorzio Sociale Pavese</w:t>
      </w:r>
    </w:p>
    <w:p w:rsidR="00507FFC" w:rsidRPr="00AF00C2" w:rsidRDefault="00507FFC" w:rsidP="002E3A43">
      <w:pPr>
        <w:autoSpaceDE w:val="0"/>
        <w:autoSpaceDN w:val="0"/>
        <w:adjustRightInd w:val="0"/>
        <w:spacing w:after="0" w:line="480" w:lineRule="auto"/>
        <w:rPr>
          <w:rFonts w:ascii="Times New Roman" w:hAnsi="Times New Roman"/>
          <w:b/>
          <w:sz w:val="24"/>
          <w:szCs w:val="24"/>
          <w:lang w:eastAsia="it-IT"/>
        </w:rPr>
      </w:pPr>
      <w:r w:rsidRPr="00AF00C2">
        <w:rPr>
          <w:rFonts w:ascii="Times New Roman" w:hAnsi="Times New Roman"/>
          <w:b/>
          <w:sz w:val="24"/>
          <w:szCs w:val="24"/>
          <w:lang w:eastAsia="it-IT"/>
        </w:rPr>
        <w:t>Partecipati</w:t>
      </w:r>
    </w:p>
    <w:p w:rsidR="00507FFC" w:rsidRPr="00AF00C2" w:rsidRDefault="00507FFC" w:rsidP="002E3A43">
      <w:pPr>
        <w:numPr>
          <w:ilvl w:val="0"/>
          <w:numId w:val="10"/>
        </w:numPr>
        <w:autoSpaceDE w:val="0"/>
        <w:autoSpaceDN w:val="0"/>
        <w:adjustRightInd w:val="0"/>
        <w:spacing w:after="0" w:line="480" w:lineRule="auto"/>
        <w:jc w:val="both"/>
        <w:rPr>
          <w:rFonts w:ascii="Times New Roman" w:hAnsi="Times New Roman"/>
          <w:sz w:val="24"/>
          <w:szCs w:val="24"/>
          <w:lang w:eastAsia="it-IT"/>
        </w:rPr>
      </w:pPr>
      <w:r w:rsidRPr="00AF00C2">
        <w:rPr>
          <w:rFonts w:ascii="Times New Roman" w:hAnsi="Times New Roman"/>
          <w:sz w:val="24"/>
          <w:szCs w:val="24"/>
          <w:lang w:eastAsia="it-IT"/>
        </w:rPr>
        <w:t xml:space="preserve">Agenzia del trasporto pubblico locale del bacino della città metropolitana di Milano, Monza e Brianza, Lodi e Pavia </w:t>
      </w:r>
    </w:p>
    <w:p w:rsidR="00507FFC" w:rsidRPr="00AF00C2" w:rsidRDefault="00507FFC" w:rsidP="002E3A43">
      <w:pPr>
        <w:numPr>
          <w:ilvl w:val="0"/>
          <w:numId w:val="10"/>
        </w:numPr>
        <w:autoSpaceDE w:val="0"/>
        <w:autoSpaceDN w:val="0"/>
        <w:adjustRightInd w:val="0"/>
        <w:spacing w:after="0" w:line="480" w:lineRule="auto"/>
        <w:rPr>
          <w:rFonts w:ascii="Times New Roman" w:hAnsi="Times New Roman"/>
          <w:sz w:val="24"/>
          <w:szCs w:val="24"/>
          <w:lang w:eastAsia="it-IT"/>
        </w:rPr>
      </w:pPr>
      <w:r w:rsidRPr="00AF00C2">
        <w:rPr>
          <w:rFonts w:ascii="Times New Roman" w:hAnsi="Times New Roman"/>
          <w:sz w:val="24"/>
          <w:szCs w:val="24"/>
          <w:lang w:eastAsia="it-IT"/>
        </w:rPr>
        <w:t>Fondazione Teatro Fraschini</w:t>
      </w:r>
    </w:p>
    <w:p w:rsidR="00507FFC" w:rsidRPr="00AF00C2" w:rsidRDefault="00507FFC" w:rsidP="002E3A43">
      <w:pPr>
        <w:numPr>
          <w:ilvl w:val="0"/>
          <w:numId w:val="10"/>
        </w:numPr>
        <w:autoSpaceDE w:val="0"/>
        <w:autoSpaceDN w:val="0"/>
        <w:adjustRightInd w:val="0"/>
        <w:spacing w:after="0" w:line="480" w:lineRule="auto"/>
        <w:rPr>
          <w:rFonts w:ascii="Times New Roman" w:hAnsi="Times New Roman"/>
          <w:sz w:val="24"/>
          <w:szCs w:val="24"/>
          <w:lang w:eastAsia="it-IT"/>
        </w:rPr>
      </w:pPr>
      <w:r w:rsidRPr="00AF00C2">
        <w:rPr>
          <w:rFonts w:ascii="Times New Roman" w:hAnsi="Times New Roman"/>
          <w:sz w:val="24"/>
          <w:szCs w:val="24"/>
          <w:lang w:eastAsia="it-IT"/>
        </w:rPr>
        <w:t>Fondazione Giandomenico Romagnosi</w:t>
      </w:r>
    </w:p>
    <w:p w:rsidR="00507FFC" w:rsidRPr="00AF00C2" w:rsidRDefault="00507FFC" w:rsidP="002E3A43">
      <w:pPr>
        <w:numPr>
          <w:ilvl w:val="0"/>
          <w:numId w:val="10"/>
        </w:numPr>
        <w:autoSpaceDE w:val="0"/>
        <w:autoSpaceDN w:val="0"/>
        <w:adjustRightInd w:val="0"/>
        <w:spacing w:after="0" w:line="480" w:lineRule="auto"/>
        <w:rPr>
          <w:rFonts w:ascii="Times New Roman" w:hAnsi="Times New Roman"/>
          <w:sz w:val="24"/>
          <w:szCs w:val="24"/>
          <w:lang w:eastAsia="it-IT"/>
        </w:rPr>
      </w:pPr>
      <w:r w:rsidRPr="00AF00C2">
        <w:rPr>
          <w:rFonts w:ascii="Times New Roman" w:hAnsi="Times New Roman"/>
          <w:sz w:val="24"/>
          <w:szCs w:val="24"/>
          <w:lang w:eastAsia="it-IT"/>
        </w:rPr>
        <w:t>Consorzio per il Sistema Informativo - Csi Piemonte</w:t>
      </w:r>
    </w:p>
    <w:p w:rsidR="00507FFC" w:rsidRPr="00FB6EAC" w:rsidRDefault="00507FFC" w:rsidP="00FB6EAC">
      <w:pPr>
        <w:autoSpaceDE w:val="0"/>
        <w:autoSpaceDN w:val="0"/>
        <w:adjustRightInd w:val="0"/>
        <w:spacing w:after="0" w:line="480" w:lineRule="auto"/>
        <w:jc w:val="both"/>
        <w:rPr>
          <w:rFonts w:ascii="Times New Roman" w:hAnsi="Times New Roman"/>
          <w:color w:val="000000"/>
          <w:sz w:val="24"/>
          <w:szCs w:val="24"/>
          <w:lang w:eastAsia="it-IT"/>
        </w:rPr>
      </w:pPr>
      <w:r w:rsidRPr="00736A17">
        <w:rPr>
          <w:rFonts w:ascii="Times New Roman" w:hAnsi="Times New Roman"/>
          <w:color w:val="000000"/>
          <w:sz w:val="24"/>
          <w:szCs w:val="24"/>
          <w:lang w:eastAsia="it-IT"/>
        </w:rPr>
        <w:t>All’esito della valutazione condotta in funzione di quanto previsto dall’art. 20, comma 2, lett. c) del T.U.S.P., nessuna delle società partecipate</w:t>
      </w:r>
      <w:r w:rsidRPr="00AF00C2">
        <w:rPr>
          <w:rFonts w:ascii="Times New Roman" w:hAnsi="Times New Roman"/>
          <w:color w:val="000000"/>
          <w:sz w:val="24"/>
          <w:szCs w:val="24"/>
          <w:lang w:eastAsia="it-IT"/>
        </w:rPr>
        <w:t xml:space="preserve"> (dirette e indirette)</w:t>
      </w:r>
      <w:r w:rsidRPr="00736A17">
        <w:rPr>
          <w:rFonts w:ascii="Times New Roman" w:hAnsi="Times New Roman"/>
          <w:color w:val="000000"/>
          <w:sz w:val="24"/>
          <w:szCs w:val="24"/>
          <w:lang w:eastAsia="it-IT"/>
        </w:rPr>
        <w:t>, di cui si intende mantenere la</w:t>
      </w:r>
      <w:r w:rsidRPr="00AF00C2">
        <w:rPr>
          <w:rFonts w:ascii="Times New Roman" w:hAnsi="Times New Roman"/>
          <w:color w:val="000000"/>
          <w:sz w:val="24"/>
          <w:szCs w:val="24"/>
          <w:lang w:eastAsia="it-IT"/>
        </w:rPr>
        <w:t xml:space="preserve"> </w:t>
      </w:r>
      <w:r w:rsidRPr="00736A17">
        <w:rPr>
          <w:rFonts w:ascii="Times New Roman" w:hAnsi="Times New Roman"/>
          <w:color w:val="000000"/>
          <w:sz w:val="24"/>
          <w:szCs w:val="24"/>
          <w:lang w:eastAsia="it-IT"/>
        </w:rPr>
        <w:t>partecipazione, svolge attività analoga o similare a quelle svolte dai predetti organismi non societari partecipati da</w:t>
      </w:r>
      <w:r w:rsidRPr="00AF00C2">
        <w:rPr>
          <w:rFonts w:ascii="Times New Roman" w:hAnsi="Times New Roman"/>
          <w:color w:val="000000"/>
          <w:sz w:val="24"/>
          <w:szCs w:val="24"/>
          <w:lang w:eastAsia="it-IT"/>
        </w:rPr>
        <w:t xml:space="preserve">l Comune </w:t>
      </w:r>
      <w:r w:rsidRPr="00736A17">
        <w:rPr>
          <w:rFonts w:ascii="Times New Roman" w:hAnsi="Times New Roman"/>
          <w:color w:val="000000"/>
          <w:sz w:val="24"/>
          <w:szCs w:val="24"/>
          <w:lang w:eastAsia="it-IT"/>
        </w:rPr>
        <w:t xml:space="preserve">di </w:t>
      </w:r>
      <w:r w:rsidRPr="00AF00C2">
        <w:rPr>
          <w:rFonts w:ascii="Times New Roman" w:hAnsi="Times New Roman"/>
          <w:color w:val="000000"/>
          <w:sz w:val="24"/>
          <w:szCs w:val="24"/>
          <w:lang w:eastAsia="it-IT"/>
        </w:rPr>
        <w:t>Pavia; p</w:t>
      </w:r>
      <w:r w:rsidRPr="00736A17">
        <w:rPr>
          <w:rFonts w:ascii="Times New Roman" w:hAnsi="Times New Roman"/>
          <w:color w:val="000000"/>
          <w:sz w:val="24"/>
          <w:szCs w:val="24"/>
          <w:lang w:eastAsia="it-IT"/>
        </w:rPr>
        <w:t xml:space="preserve">ertanto non si ravvisa la necessità di adottare, nella prospettiva qui esaminata, misure di razionalizzazione e si conferma il mantenimento delle partecipazioni nei termini </w:t>
      </w:r>
      <w:r>
        <w:rPr>
          <w:rFonts w:ascii="Times New Roman" w:hAnsi="Times New Roman"/>
          <w:color w:val="000000"/>
          <w:sz w:val="24"/>
          <w:szCs w:val="24"/>
          <w:lang w:eastAsia="it-IT"/>
        </w:rPr>
        <w:t>di cui ai paragrafi precedenti.</w:t>
      </w:r>
      <w:r w:rsidR="00CF39A8">
        <w:rPr>
          <w:noProof/>
          <w:lang w:eastAsia="it-IT"/>
        </w:rPr>
        <mc:AlternateContent>
          <mc:Choice Requires="wps">
            <w:drawing>
              <wp:anchor distT="0" distB="0" distL="114300" distR="114300" simplePos="0" relativeHeight="251660800" behindDoc="0" locked="0" layoutInCell="1" allowOverlap="1">
                <wp:simplePos x="0" y="0"/>
                <wp:positionH relativeFrom="column">
                  <wp:posOffset>7722870</wp:posOffset>
                </wp:positionH>
                <wp:positionV relativeFrom="paragraph">
                  <wp:posOffset>-353060</wp:posOffset>
                </wp:positionV>
                <wp:extent cx="1079500" cy="572135"/>
                <wp:effectExtent l="0" t="0" r="25400" b="18415"/>
                <wp:wrapNone/>
                <wp:docPr id="14" name="Rettangolo arrotondat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00" cy="572135"/>
                        </a:xfrm>
                        <a:prstGeom prst="roundRect">
                          <a:avLst/>
                        </a:prstGeom>
                        <a:solidFill>
                          <a:srgbClr val="4F81BD"/>
                        </a:solidFill>
                        <a:ln w="25400" cap="flat" cmpd="sng" algn="ctr">
                          <a:solidFill>
                            <a:srgbClr val="4F81BD">
                              <a:shade val="50000"/>
                            </a:srgbClr>
                          </a:solidFill>
                          <a:prstDash val="solid"/>
                        </a:ln>
                        <a:effectLst/>
                      </wps:spPr>
                      <wps:txbx>
                        <w:txbxContent>
                          <w:p w:rsidR="00507FFC" w:rsidRPr="00147263" w:rsidRDefault="00507FFC" w:rsidP="00E67038">
                            <w:pPr>
                              <w:jc w:val="center"/>
                              <w:rPr>
                                <w:b/>
                                <w:color w:val="FFFFFF"/>
                                <w:sz w:val="16"/>
                                <w:szCs w:val="16"/>
                              </w:rPr>
                            </w:pPr>
                            <w:r w:rsidRPr="00147263">
                              <w:rPr>
                                <w:b/>
                                <w:color w:val="FFFFFF"/>
                                <w:sz w:val="16"/>
                                <w:szCs w:val="16"/>
                              </w:rPr>
                              <w:t>A2A S.P.A.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id="Rettangolo arrotondato 14" o:spid="_x0000_s1031" style="position:absolute;left:0;text-align:left;margin-left:608.1pt;margin-top:-27.8pt;width:85pt;height:45.0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Gp+jAIAADoFAAAOAAAAZHJzL2Uyb0RvYy54bWysVEtPGzEQvlfqf7B8L5tNkwIrNiglSlUp&#10;AgRUnCde70P1elzbyS799R17NxAop6oXy+N5f9+MLy77VrG9tK5BnfP0ZMKZ1AKLRlc5//Gw/nTG&#10;mfOgC1CoZc6fpOOXi48fLjqTySnWqAppGQXRLutMzmvvTZYkTtSyBXeCRmpSlmhb8CTaKiksdBS9&#10;Vcl0MvmSdGgLY1FI5+h1NSj5IsYvSyn8TVk66ZnKOdXm42njuQ1nsriArLJg6kaMZcA/VNFCoynp&#10;c6gVeGA72/wVqm2ERYelPxHYJliWjZCxB+omnbzp5r4GI2MvBI4zzzC5/xdWXO9vLWsK4m7GmYaW&#10;OLqTnhirUCEDa9EjseeRkQGh1RmXkdO9ubWhX2c2KH46UiSvNEFwo01f2jbYUresj9A/PUMve88E&#10;PaaT0/P5hBgSpJufTtPP85Atgezgbazz3yS2LFxybnGnizviN8IO+43zg/3BLlaHqinWjVJRsNX2&#10;Slm2B5qF2fos/boaU7hjM6VZl/PpfBarAZrJUoGnwlpDKDldcQaqomEX3sbcr7zdO0li8hoKOaSm&#10;Nin0UOxoHht9FSd0sQJXDy5RNbooHeLJONtj0y9gh5vvt31kNCIYXrZYPBHLRGVE3xmxbij+Bpy/&#10;BUvzTrjTDvsbOkqF1D6ON85qtL/few/2NIak5ayj/SFofu3ASs7Ud00Dep7OZmHhojAjRkmwx5rt&#10;sUbv2iskWlL6LYyI12Dv1eFaWmwfadWXISupQAvKPZAwCld+2Gv6LIRcLqMZLZkBv9H3RoTgAbmA&#10;7EP/CNaMk+RpBq/xsGuQvZmlwTZ4alzuPJZNHLQXXMfRpwWNNI6fSfgBjuVo9fLlLf4AAAD//wMA&#10;UEsDBBQABgAIAAAAIQAzpqWT3QAAAAwBAAAPAAAAZHJzL2Rvd25yZXYueG1sTI/BTsMwDIbvSLxD&#10;ZCRuW7KOlqo0nQZodxggrlnjtRWNUyVpV96e9MSOv/3p9+dyN5ueTeh8Z0nCZi2AIdVWd9RI+Pw4&#10;rHJgPijSqreEEn7Rw666vSlVoe2F3nE6hobFEvKFktCGMBSc+7pFo/zaDkhxd7bOqBCja7h26hLL&#10;Tc8TITJuVEfxQqsGfGmx/jmORoIRjRP5+G2+npOaDvZten3cn6W8v5v3T8ACzuEfhkU/qkMVnU52&#10;JO1ZH3OyyZLISlilaQZsQbb5MjpJ2D6kwKuSXz9R/QEAAP//AwBQSwECLQAUAAYACAAAACEAtoM4&#10;kv4AAADhAQAAEwAAAAAAAAAAAAAAAAAAAAAAW0NvbnRlbnRfVHlwZXNdLnhtbFBLAQItABQABgAI&#10;AAAAIQA4/SH/1gAAAJQBAAALAAAAAAAAAAAAAAAAAC8BAABfcmVscy8ucmVsc1BLAQItABQABgAI&#10;AAAAIQDPqGp+jAIAADoFAAAOAAAAAAAAAAAAAAAAAC4CAABkcnMvZTJvRG9jLnhtbFBLAQItABQA&#10;BgAIAAAAIQAzpqWT3QAAAAwBAAAPAAAAAAAAAAAAAAAAAOYEAABkcnMvZG93bnJldi54bWxQSwUG&#10;AAAAAAQABADzAAAA8AUAAAAA&#10;" fillcolor="#4f81bd" strokecolor="#385d8a" strokeweight="2pt">
                <v:path arrowok="t"/>
                <v:textbox>
                  <w:txbxContent>
                    <w:p w:rsidR="00507FFC" w:rsidRPr="00147263" w:rsidRDefault="00507FFC" w:rsidP="00E67038">
                      <w:pPr>
                        <w:jc w:val="center"/>
                        <w:rPr>
                          <w:b/>
                          <w:color w:val="FFFFFF"/>
                          <w:sz w:val="16"/>
                          <w:szCs w:val="16"/>
                        </w:rPr>
                      </w:pPr>
                      <w:r w:rsidRPr="00147263">
                        <w:rPr>
                          <w:b/>
                          <w:color w:val="FFFFFF"/>
                          <w:sz w:val="16"/>
                          <w:szCs w:val="16"/>
                        </w:rPr>
                        <w:t>A2A S.P.A.</w:t>
                      </w:r>
                    </w:p>
                  </w:txbxContent>
                </v:textbox>
              </v:roundrect>
            </w:pict>
          </mc:Fallback>
        </mc:AlternateContent>
      </w:r>
    </w:p>
    <w:sectPr w:rsidR="00507FFC" w:rsidRPr="00FB6EAC" w:rsidSect="00441FC4">
      <w:headerReference w:type="default" r:id="rId12"/>
      <w:footerReference w:type="default" r:id="rId13"/>
      <w:pgSz w:w="11906" w:h="16838"/>
      <w:pgMar w:top="709"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48E" w:rsidRDefault="00AD048E" w:rsidP="001D352C">
      <w:pPr>
        <w:spacing w:after="0" w:line="240" w:lineRule="auto"/>
      </w:pPr>
      <w:r>
        <w:separator/>
      </w:r>
    </w:p>
  </w:endnote>
  <w:endnote w:type="continuationSeparator" w:id="0">
    <w:p w:rsidR="00AD048E" w:rsidRDefault="00AD048E" w:rsidP="001D35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doni MT">
    <w:altName w:val="Bodoni"/>
    <w:charset w:val="00"/>
    <w:family w:val="roman"/>
    <w:pitch w:val="variable"/>
    <w:sig w:usb0="00000003" w:usb1="00000000" w:usb2="00000000" w:usb3="00000000" w:csb0="00000001" w:csb1="00000000"/>
  </w:font>
  <w:font w:name="@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FFC" w:rsidRDefault="00507FFC">
    <w:pPr>
      <w:pStyle w:val="Pidipagina"/>
      <w:jc w:val="center"/>
    </w:pPr>
    <w:r>
      <w:rPr>
        <w:noProof/>
      </w:rPr>
      <w:fldChar w:fldCharType="begin"/>
    </w:r>
    <w:r>
      <w:rPr>
        <w:noProof/>
      </w:rPr>
      <w:instrText>PAGE   \* MERGEFORMAT</w:instrText>
    </w:r>
    <w:r>
      <w:rPr>
        <w:noProof/>
      </w:rPr>
      <w:fldChar w:fldCharType="separate"/>
    </w:r>
    <w:r w:rsidR="00CF39A8">
      <w:rPr>
        <w:noProof/>
      </w:rPr>
      <w:t>2</w:t>
    </w:r>
    <w:r>
      <w:rPr>
        <w:noProof/>
      </w:rPr>
      <w:fldChar w:fldCharType="end"/>
    </w:r>
  </w:p>
  <w:p w:rsidR="00507FFC" w:rsidRDefault="00507FF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48E" w:rsidRDefault="00AD048E" w:rsidP="001D352C">
      <w:pPr>
        <w:spacing w:after="0" w:line="240" w:lineRule="auto"/>
      </w:pPr>
      <w:r>
        <w:separator/>
      </w:r>
    </w:p>
  </w:footnote>
  <w:footnote w:type="continuationSeparator" w:id="0">
    <w:p w:rsidR="00AD048E" w:rsidRDefault="00AD048E" w:rsidP="001D35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126" w:rsidRDefault="004D7126" w:rsidP="004D7126">
    <w:pPr>
      <w:pStyle w:val="Intestazione"/>
    </w:pPr>
    <w:r w:rsidRPr="004D7126">
      <w:rPr>
        <w:b/>
        <w:sz w:val="22"/>
        <w:szCs w:val="22"/>
      </w:rPr>
      <w:t>ALLEGATO A</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924BDE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A52C31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4B8EEF0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CB840CD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C62635A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69AF9F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0AAA2D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BE08E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546C77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C78031F6"/>
    <w:lvl w:ilvl="0">
      <w:start w:val="1"/>
      <w:numFmt w:val="bullet"/>
      <w:lvlText w:val=""/>
      <w:lvlJc w:val="left"/>
      <w:pPr>
        <w:tabs>
          <w:tab w:val="num" w:pos="360"/>
        </w:tabs>
        <w:ind w:left="360" w:hanging="360"/>
      </w:pPr>
      <w:rPr>
        <w:rFonts w:ascii="Symbol" w:hAnsi="Symbol" w:hint="default"/>
      </w:rPr>
    </w:lvl>
  </w:abstractNum>
  <w:abstractNum w:abstractNumId="10">
    <w:nsid w:val="0000000F"/>
    <w:multiLevelType w:val="singleLevel"/>
    <w:tmpl w:val="0000000F"/>
    <w:name w:val="WW8Num27"/>
    <w:lvl w:ilvl="0">
      <w:start w:val="1"/>
      <w:numFmt w:val="bullet"/>
      <w:lvlText w:val="-"/>
      <w:lvlJc w:val="left"/>
      <w:pPr>
        <w:tabs>
          <w:tab w:val="num" w:pos="720"/>
        </w:tabs>
        <w:ind w:left="720" w:hanging="360"/>
      </w:pPr>
      <w:rPr>
        <w:rFonts w:ascii="Times New Roman" w:hAnsi="Times New Roman"/>
      </w:rPr>
    </w:lvl>
  </w:abstractNum>
  <w:abstractNum w:abstractNumId="11">
    <w:nsid w:val="01525E57"/>
    <w:multiLevelType w:val="hybridMultilevel"/>
    <w:tmpl w:val="FA58C6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0F8B0642"/>
    <w:multiLevelType w:val="hybridMultilevel"/>
    <w:tmpl w:val="B76E7C02"/>
    <w:lvl w:ilvl="0" w:tplc="61C07A92">
      <w:start w:val="1"/>
      <w:numFmt w:val="decimal"/>
      <w:lvlText w:val="%1."/>
      <w:lvlJc w:val="left"/>
      <w:pPr>
        <w:ind w:left="720" w:hanging="360"/>
      </w:pPr>
      <w:rPr>
        <w:rFonts w:cs="Bodoni MT"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3">
    <w:nsid w:val="1EE73F6E"/>
    <w:multiLevelType w:val="hybridMultilevel"/>
    <w:tmpl w:val="44525CF6"/>
    <w:lvl w:ilvl="0" w:tplc="A7D4109E">
      <w:start w:val="1"/>
      <w:numFmt w:val="bullet"/>
      <w:lvlText w:val="»"/>
      <w:lvlJc w:val="left"/>
      <w:pPr>
        <w:tabs>
          <w:tab w:val="num" w:pos="720"/>
        </w:tabs>
        <w:ind w:left="720" w:hanging="360"/>
      </w:pPr>
      <w:rPr>
        <w:rFonts w:ascii="@MS Gothic" w:eastAsia="@MS Gothic"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2C296043"/>
    <w:multiLevelType w:val="hybridMultilevel"/>
    <w:tmpl w:val="7550150C"/>
    <w:lvl w:ilvl="0" w:tplc="04100017">
      <w:start w:val="1"/>
      <w:numFmt w:val="lowerLetter"/>
      <w:lvlText w:val="%1)"/>
      <w:lvlJc w:val="left"/>
      <w:pPr>
        <w:ind w:left="720" w:hanging="360"/>
      </w:pPr>
      <w:rPr>
        <w:rFonts w:cs="Times New Roman" w:hint="default"/>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5">
    <w:nsid w:val="3382500F"/>
    <w:multiLevelType w:val="hybridMultilevel"/>
    <w:tmpl w:val="CE6EEABE"/>
    <w:lvl w:ilvl="0" w:tplc="0410000F">
      <w:start w:val="1"/>
      <w:numFmt w:val="decimal"/>
      <w:lvlText w:val="%1."/>
      <w:lvlJc w:val="left"/>
      <w:pPr>
        <w:ind w:left="1440" w:hanging="360"/>
      </w:pPr>
      <w:rPr>
        <w:rFonts w:cs="Times New Roman" w:hint="default"/>
      </w:rPr>
    </w:lvl>
    <w:lvl w:ilvl="1" w:tplc="04100019" w:tentative="1">
      <w:start w:val="1"/>
      <w:numFmt w:val="lowerLetter"/>
      <w:lvlText w:val="%2."/>
      <w:lvlJc w:val="left"/>
      <w:pPr>
        <w:ind w:left="2160" w:hanging="360"/>
      </w:pPr>
      <w:rPr>
        <w:rFonts w:cs="Times New Roman"/>
      </w:rPr>
    </w:lvl>
    <w:lvl w:ilvl="2" w:tplc="0410001B" w:tentative="1">
      <w:start w:val="1"/>
      <w:numFmt w:val="lowerRoman"/>
      <w:lvlText w:val="%3."/>
      <w:lvlJc w:val="right"/>
      <w:pPr>
        <w:ind w:left="2880" w:hanging="180"/>
      </w:pPr>
      <w:rPr>
        <w:rFonts w:cs="Times New Roman"/>
      </w:rPr>
    </w:lvl>
    <w:lvl w:ilvl="3" w:tplc="0410000F" w:tentative="1">
      <w:start w:val="1"/>
      <w:numFmt w:val="decimal"/>
      <w:lvlText w:val="%4."/>
      <w:lvlJc w:val="left"/>
      <w:pPr>
        <w:ind w:left="3600" w:hanging="360"/>
      </w:pPr>
      <w:rPr>
        <w:rFonts w:cs="Times New Roman"/>
      </w:rPr>
    </w:lvl>
    <w:lvl w:ilvl="4" w:tplc="04100019" w:tentative="1">
      <w:start w:val="1"/>
      <w:numFmt w:val="lowerLetter"/>
      <w:lvlText w:val="%5."/>
      <w:lvlJc w:val="left"/>
      <w:pPr>
        <w:ind w:left="4320" w:hanging="360"/>
      </w:pPr>
      <w:rPr>
        <w:rFonts w:cs="Times New Roman"/>
      </w:rPr>
    </w:lvl>
    <w:lvl w:ilvl="5" w:tplc="0410001B" w:tentative="1">
      <w:start w:val="1"/>
      <w:numFmt w:val="lowerRoman"/>
      <w:lvlText w:val="%6."/>
      <w:lvlJc w:val="right"/>
      <w:pPr>
        <w:ind w:left="5040" w:hanging="180"/>
      </w:pPr>
      <w:rPr>
        <w:rFonts w:cs="Times New Roman"/>
      </w:rPr>
    </w:lvl>
    <w:lvl w:ilvl="6" w:tplc="0410000F" w:tentative="1">
      <w:start w:val="1"/>
      <w:numFmt w:val="decimal"/>
      <w:lvlText w:val="%7."/>
      <w:lvlJc w:val="left"/>
      <w:pPr>
        <w:ind w:left="5760" w:hanging="360"/>
      </w:pPr>
      <w:rPr>
        <w:rFonts w:cs="Times New Roman"/>
      </w:rPr>
    </w:lvl>
    <w:lvl w:ilvl="7" w:tplc="04100019" w:tentative="1">
      <w:start w:val="1"/>
      <w:numFmt w:val="lowerLetter"/>
      <w:lvlText w:val="%8."/>
      <w:lvlJc w:val="left"/>
      <w:pPr>
        <w:ind w:left="6480" w:hanging="360"/>
      </w:pPr>
      <w:rPr>
        <w:rFonts w:cs="Times New Roman"/>
      </w:rPr>
    </w:lvl>
    <w:lvl w:ilvl="8" w:tplc="0410001B" w:tentative="1">
      <w:start w:val="1"/>
      <w:numFmt w:val="lowerRoman"/>
      <w:lvlText w:val="%9."/>
      <w:lvlJc w:val="right"/>
      <w:pPr>
        <w:ind w:left="7200" w:hanging="180"/>
      </w:pPr>
      <w:rPr>
        <w:rFonts w:cs="Times New Roman"/>
      </w:rPr>
    </w:lvl>
  </w:abstractNum>
  <w:abstractNum w:abstractNumId="16">
    <w:nsid w:val="3F5F53CA"/>
    <w:multiLevelType w:val="hybridMultilevel"/>
    <w:tmpl w:val="8306E4EA"/>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7">
    <w:nsid w:val="47820089"/>
    <w:multiLevelType w:val="hybridMultilevel"/>
    <w:tmpl w:val="60C4C31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nsid w:val="4CA348C4"/>
    <w:multiLevelType w:val="hybridMultilevel"/>
    <w:tmpl w:val="B1E41F28"/>
    <w:lvl w:ilvl="0" w:tplc="867EFDA0">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56F368B8"/>
    <w:multiLevelType w:val="hybridMultilevel"/>
    <w:tmpl w:val="53789FE8"/>
    <w:lvl w:ilvl="0" w:tplc="867EFDA0">
      <w:numFmt w:val="bullet"/>
      <w:lvlText w:val="-"/>
      <w:lvlJc w:val="left"/>
      <w:pPr>
        <w:ind w:left="720" w:hanging="360"/>
      </w:pPr>
      <w:rPr>
        <w:rFonts w:ascii="Times New Roman" w:eastAsia="Times New Roman" w:hAnsi="Times New Roman"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nsid w:val="5E052DA5"/>
    <w:multiLevelType w:val="hybridMultilevel"/>
    <w:tmpl w:val="A7BEB620"/>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num w:numId="1">
    <w:abstractNumId w:val="15"/>
  </w:num>
  <w:num w:numId="2">
    <w:abstractNumId w:val="12"/>
  </w:num>
  <w:num w:numId="3">
    <w:abstractNumId w:val="14"/>
  </w:num>
  <w:num w:numId="4">
    <w:abstractNumId w:val="20"/>
  </w:num>
  <w:num w:numId="5">
    <w:abstractNumId w:val="13"/>
  </w:num>
  <w:num w:numId="6">
    <w:abstractNumId w:val="17"/>
  </w:num>
  <w:num w:numId="7">
    <w:abstractNumId w:val="16"/>
  </w:num>
  <w:num w:numId="8">
    <w:abstractNumId w:val="11"/>
  </w:num>
  <w:num w:numId="9">
    <w:abstractNumId w:val="18"/>
  </w:num>
  <w:num w:numId="10">
    <w:abstractNumId w:val="19"/>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ECA"/>
    <w:rsid w:val="00000DB3"/>
    <w:rsid w:val="00001105"/>
    <w:rsid w:val="00003E8A"/>
    <w:rsid w:val="00007745"/>
    <w:rsid w:val="00010327"/>
    <w:rsid w:val="00011AA1"/>
    <w:rsid w:val="00011BF4"/>
    <w:rsid w:val="00012B7A"/>
    <w:rsid w:val="0001338A"/>
    <w:rsid w:val="00015B3C"/>
    <w:rsid w:val="00016969"/>
    <w:rsid w:val="00022862"/>
    <w:rsid w:val="00022E76"/>
    <w:rsid w:val="00022FE9"/>
    <w:rsid w:val="000256D7"/>
    <w:rsid w:val="0002743D"/>
    <w:rsid w:val="000306EA"/>
    <w:rsid w:val="00031F50"/>
    <w:rsid w:val="00035BFC"/>
    <w:rsid w:val="00035C7B"/>
    <w:rsid w:val="00035DF7"/>
    <w:rsid w:val="0003657E"/>
    <w:rsid w:val="000410C3"/>
    <w:rsid w:val="00041D21"/>
    <w:rsid w:val="00041E17"/>
    <w:rsid w:val="00041E6F"/>
    <w:rsid w:val="00042312"/>
    <w:rsid w:val="0004566C"/>
    <w:rsid w:val="00046899"/>
    <w:rsid w:val="00050A8B"/>
    <w:rsid w:val="00051AFA"/>
    <w:rsid w:val="00051FB5"/>
    <w:rsid w:val="0005284C"/>
    <w:rsid w:val="00054ECE"/>
    <w:rsid w:val="00055827"/>
    <w:rsid w:val="00055924"/>
    <w:rsid w:val="00056629"/>
    <w:rsid w:val="0006030B"/>
    <w:rsid w:val="00063DFA"/>
    <w:rsid w:val="000653C1"/>
    <w:rsid w:val="00073FAD"/>
    <w:rsid w:val="000758F5"/>
    <w:rsid w:val="00076746"/>
    <w:rsid w:val="00076861"/>
    <w:rsid w:val="00076DDD"/>
    <w:rsid w:val="000804D3"/>
    <w:rsid w:val="00081892"/>
    <w:rsid w:val="000825AD"/>
    <w:rsid w:val="00093F41"/>
    <w:rsid w:val="00095946"/>
    <w:rsid w:val="00097130"/>
    <w:rsid w:val="000978EE"/>
    <w:rsid w:val="000A0A89"/>
    <w:rsid w:val="000A1A14"/>
    <w:rsid w:val="000A461B"/>
    <w:rsid w:val="000A49B1"/>
    <w:rsid w:val="000A706A"/>
    <w:rsid w:val="000B03A7"/>
    <w:rsid w:val="000B21CE"/>
    <w:rsid w:val="000B2842"/>
    <w:rsid w:val="000B5999"/>
    <w:rsid w:val="000B5D38"/>
    <w:rsid w:val="000B6B0D"/>
    <w:rsid w:val="000B7C3E"/>
    <w:rsid w:val="000C49E6"/>
    <w:rsid w:val="000C5DA7"/>
    <w:rsid w:val="000C633A"/>
    <w:rsid w:val="000D036F"/>
    <w:rsid w:val="000D4501"/>
    <w:rsid w:val="000D49AB"/>
    <w:rsid w:val="000D630A"/>
    <w:rsid w:val="000D7357"/>
    <w:rsid w:val="000E1029"/>
    <w:rsid w:val="000E21B1"/>
    <w:rsid w:val="000E2622"/>
    <w:rsid w:val="000E2E17"/>
    <w:rsid w:val="000E392B"/>
    <w:rsid w:val="000F0001"/>
    <w:rsid w:val="000F0759"/>
    <w:rsid w:val="000F0814"/>
    <w:rsid w:val="000F1A13"/>
    <w:rsid w:val="000F2617"/>
    <w:rsid w:val="000F2E43"/>
    <w:rsid w:val="000F4953"/>
    <w:rsid w:val="000F57F3"/>
    <w:rsid w:val="000F6331"/>
    <w:rsid w:val="000F6733"/>
    <w:rsid w:val="000F6EAC"/>
    <w:rsid w:val="00100AAD"/>
    <w:rsid w:val="0010243F"/>
    <w:rsid w:val="00105BE0"/>
    <w:rsid w:val="00106726"/>
    <w:rsid w:val="00107710"/>
    <w:rsid w:val="001132E6"/>
    <w:rsid w:val="00115FDF"/>
    <w:rsid w:val="001163A0"/>
    <w:rsid w:val="001166AC"/>
    <w:rsid w:val="00117F9E"/>
    <w:rsid w:val="00120F32"/>
    <w:rsid w:val="0012145D"/>
    <w:rsid w:val="001221F6"/>
    <w:rsid w:val="00127700"/>
    <w:rsid w:val="001279AF"/>
    <w:rsid w:val="00135684"/>
    <w:rsid w:val="00141620"/>
    <w:rsid w:val="001416B6"/>
    <w:rsid w:val="00144F1A"/>
    <w:rsid w:val="001459DC"/>
    <w:rsid w:val="001464CB"/>
    <w:rsid w:val="00147263"/>
    <w:rsid w:val="00151C73"/>
    <w:rsid w:val="00152F4D"/>
    <w:rsid w:val="00153064"/>
    <w:rsid w:val="0015434C"/>
    <w:rsid w:val="001634D2"/>
    <w:rsid w:val="00170130"/>
    <w:rsid w:val="0017168E"/>
    <w:rsid w:val="00171F8D"/>
    <w:rsid w:val="0017380B"/>
    <w:rsid w:val="00173A0B"/>
    <w:rsid w:val="00173AA4"/>
    <w:rsid w:val="00173B62"/>
    <w:rsid w:val="0017409D"/>
    <w:rsid w:val="001749A0"/>
    <w:rsid w:val="00176192"/>
    <w:rsid w:val="00176C20"/>
    <w:rsid w:val="00180B0C"/>
    <w:rsid w:val="00184B50"/>
    <w:rsid w:val="001917D8"/>
    <w:rsid w:val="0019279B"/>
    <w:rsid w:val="00192E35"/>
    <w:rsid w:val="001942EB"/>
    <w:rsid w:val="00194592"/>
    <w:rsid w:val="00194A32"/>
    <w:rsid w:val="00195271"/>
    <w:rsid w:val="00196EDB"/>
    <w:rsid w:val="00196EF2"/>
    <w:rsid w:val="00197A08"/>
    <w:rsid w:val="001A12D8"/>
    <w:rsid w:val="001A252C"/>
    <w:rsid w:val="001A2BB1"/>
    <w:rsid w:val="001A39BE"/>
    <w:rsid w:val="001B4A6F"/>
    <w:rsid w:val="001B5220"/>
    <w:rsid w:val="001C173C"/>
    <w:rsid w:val="001C197C"/>
    <w:rsid w:val="001C413A"/>
    <w:rsid w:val="001C43F5"/>
    <w:rsid w:val="001C4469"/>
    <w:rsid w:val="001C509A"/>
    <w:rsid w:val="001C7E3C"/>
    <w:rsid w:val="001D0F2B"/>
    <w:rsid w:val="001D162B"/>
    <w:rsid w:val="001D216C"/>
    <w:rsid w:val="001D352C"/>
    <w:rsid w:val="001D4B74"/>
    <w:rsid w:val="001E2D39"/>
    <w:rsid w:val="001E4D26"/>
    <w:rsid w:val="001E50B3"/>
    <w:rsid w:val="001F0F3A"/>
    <w:rsid w:val="001F3A0A"/>
    <w:rsid w:val="001F4A1B"/>
    <w:rsid w:val="001F6C4D"/>
    <w:rsid w:val="001F7CDE"/>
    <w:rsid w:val="002037C2"/>
    <w:rsid w:val="0020390F"/>
    <w:rsid w:val="00206399"/>
    <w:rsid w:val="00210883"/>
    <w:rsid w:val="002152B6"/>
    <w:rsid w:val="00224936"/>
    <w:rsid w:val="0023179A"/>
    <w:rsid w:val="0023298B"/>
    <w:rsid w:val="00240E77"/>
    <w:rsid w:val="00244988"/>
    <w:rsid w:val="00244DB7"/>
    <w:rsid w:val="00251A8D"/>
    <w:rsid w:val="00251F82"/>
    <w:rsid w:val="00253A30"/>
    <w:rsid w:val="00254259"/>
    <w:rsid w:val="00256C3C"/>
    <w:rsid w:val="00256E2D"/>
    <w:rsid w:val="00257298"/>
    <w:rsid w:val="00260CB0"/>
    <w:rsid w:val="002611D9"/>
    <w:rsid w:val="0026465C"/>
    <w:rsid w:val="002711FB"/>
    <w:rsid w:val="00272B71"/>
    <w:rsid w:val="00272C9F"/>
    <w:rsid w:val="00276551"/>
    <w:rsid w:val="00282DCF"/>
    <w:rsid w:val="00284045"/>
    <w:rsid w:val="00284732"/>
    <w:rsid w:val="00285760"/>
    <w:rsid w:val="00285C03"/>
    <w:rsid w:val="002862FD"/>
    <w:rsid w:val="002870F3"/>
    <w:rsid w:val="00295B62"/>
    <w:rsid w:val="00296467"/>
    <w:rsid w:val="002A0808"/>
    <w:rsid w:val="002A4594"/>
    <w:rsid w:val="002A45BB"/>
    <w:rsid w:val="002A5A9C"/>
    <w:rsid w:val="002A5B85"/>
    <w:rsid w:val="002A6128"/>
    <w:rsid w:val="002B0329"/>
    <w:rsid w:val="002B04D4"/>
    <w:rsid w:val="002B45D3"/>
    <w:rsid w:val="002B6F33"/>
    <w:rsid w:val="002C01C3"/>
    <w:rsid w:val="002C0896"/>
    <w:rsid w:val="002C133B"/>
    <w:rsid w:val="002C2C53"/>
    <w:rsid w:val="002C3794"/>
    <w:rsid w:val="002C57C6"/>
    <w:rsid w:val="002D685D"/>
    <w:rsid w:val="002E0683"/>
    <w:rsid w:val="002E3A43"/>
    <w:rsid w:val="002E3C73"/>
    <w:rsid w:val="002E4212"/>
    <w:rsid w:val="002E4794"/>
    <w:rsid w:val="002E4C73"/>
    <w:rsid w:val="002E5EB7"/>
    <w:rsid w:val="002E6D14"/>
    <w:rsid w:val="002E7C11"/>
    <w:rsid w:val="002F0D25"/>
    <w:rsid w:val="002F1429"/>
    <w:rsid w:val="002F25D4"/>
    <w:rsid w:val="002F2CA7"/>
    <w:rsid w:val="002F3999"/>
    <w:rsid w:val="002F3D22"/>
    <w:rsid w:val="002F4BE2"/>
    <w:rsid w:val="002F634D"/>
    <w:rsid w:val="002F7778"/>
    <w:rsid w:val="00300D4A"/>
    <w:rsid w:val="00301614"/>
    <w:rsid w:val="003026B8"/>
    <w:rsid w:val="0030286C"/>
    <w:rsid w:val="00311A6A"/>
    <w:rsid w:val="0031385E"/>
    <w:rsid w:val="0031769F"/>
    <w:rsid w:val="00320373"/>
    <w:rsid w:val="00321FBD"/>
    <w:rsid w:val="003229A4"/>
    <w:rsid w:val="00322ECA"/>
    <w:rsid w:val="00330883"/>
    <w:rsid w:val="003326B7"/>
    <w:rsid w:val="00336F6C"/>
    <w:rsid w:val="0033712D"/>
    <w:rsid w:val="003375E5"/>
    <w:rsid w:val="00342EB6"/>
    <w:rsid w:val="003459DC"/>
    <w:rsid w:val="00347027"/>
    <w:rsid w:val="003520D7"/>
    <w:rsid w:val="00354052"/>
    <w:rsid w:val="00355271"/>
    <w:rsid w:val="00360622"/>
    <w:rsid w:val="003654EF"/>
    <w:rsid w:val="00365AD4"/>
    <w:rsid w:val="00372BA1"/>
    <w:rsid w:val="003768D2"/>
    <w:rsid w:val="00381EE2"/>
    <w:rsid w:val="0038297A"/>
    <w:rsid w:val="0038539B"/>
    <w:rsid w:val="00386738"/>
    <w:rsid w:val="00387925"/>
    <w:rsid w:val="00390243"/>
    <w:rsid w:val="00392447"/>
    <w:rsid w:val="00393ADD"/>
    <w:rsid w:val="00397C47"/>
    <w:rsid w:val="003A2045"/>
    <w:rsid w:val="003A21CF"/>
    <w:rsid w:val="003A3458"/>
    <w:rsid w:val="003A4E99"/>
    <w:rsid w:val="003A7CD4"/>
    <w:rsid w:val="003B079F"/>
    <w:rsid w:val="003B0B98"/>
    <w:rsid w:val="003B154F"/>
    <w:rsid w:val="003B30B0"/>
    <w:rsid w:val="003B7EF9"/>
    <w:rsid w:val="003C2E84"/>
    <w:rsid w:val="003C2F0A"/>
    <w:rsid w:val="003C4D51"/>
    <w:rsid w:val="003C5237"/>
    <w:rsid w:val="003C74D9"/>
    <w:rsid w:val="003D5B52"/>
    <w:rsid w:val="003D684D"/>
    <w:rsid w:val="003D7A20"/>
    <w:rsid w:val="003E0EE8"/>
    <w:rsid w:val="003E19F9"/>
    <w:rsid w:val="003E3C34"/>
    <w:rsid w:val="003E41CD"/>
    <w:rsid w:val="003F0599"/>
    <w:rsid w:val="003F1924"/>
    <w:rsid w:val="003F1E47"/>
    <w:rsid w:val="003F24D6"/>
    <w:rsid w:val="003F2B9C"/>
    <w:rsid w:val="003F380E"/>
    <w:rsid w:val="003F58CD"/>
    <w:rsid w:val="00401189"/>
    <w:rsid w:val="004025F0"/>
    <w:rsid w:val="00402EDF"/>
    <w:rsid w:val="004036B8"/>
    <w:rsid w:val="0040427E"/>
    <w:rsid w:val="00404FE6"/>
    <w:rsid w:val="0040670D"/>
    <w:rsid w:val="00406D62"/>
    <w:rsid w:val="00407766"/>
    <w:rsid w:val="00410A56"/>
    <w:rsid w:val="00410BBC"/>
    <w:rsid w:val="0041546C"/>
    <w:rsid w:val="00415624"/>
    <w:rsid w:val="004176DB"/>
    <w:rsid w:val="0042413E"/>
    <w:rsid w:val="0043011C"/>
    <w:rsid w:val="0043038E"/>
    <w:rsid w:val="00433D4E"/>
    <w:rsid w:val="004362DE"/>
    <w:rsid w:val="00440583"/>
    <w:rsid w:val="00441648"/>
    <w:rsid w:val="00441FC4"/>
    <w:rsid w:val="00442C35"/>
    <w:rsid w:val="00445E63"/>
    <w:rsid w:val="00447EE5"/>
    <w:rsid w:val="004500C8"/>
    <w:rsid w:val="004513D8"/>
    <w:rsid w:val="004514C2"/>
    <w:rsid w:val="00451D28"/>
    <w:rsid w:val="00455457"/>
    <w:rsid w:val="0045650F"/>
    <w:rsid w:val="00463A50"/>
    <w:rsid w:val="00463A87"/>
    <w:rsid w:val="00464F6E"/>
    <w:rsid w:val="0047118F"/>
    <w:rsid w:val="0047438F"/>
    <w:rsid w:val="00475295"/>
    <w:rsid w:val="00481FD6"/>
    <w:rsid w:val="00490570"/>
    <w:rsid w:val="00493CB7"/>
    <w:rsid w:val="00496D42"/>
    <w:rsid w:val="004974CE"/>
    <w:rsid w:val="004A79AF"/>
    <w:rsid w:val="004B1075"/>
    <w:rsid w:val="004B4419"/>
    <w:rsid w:val="004B605B"/>
    <w:rsid w:val="004B6E48"/>
    <w:rsid w:val="004C175B"/>
    <w:rsid w:val="004C45B9"/>
    <w:rsid w:val="004C4A46"/>
    <w:rsid w:val="004C7FF2"/>
    <w:rsid w:val="004D1F18"/>
    <w:rsid w:val="004D3BBF"/>
    <w:rsid w:val="004D7126"/>
    <w:rsid w:val="004E1583"/>
    <w:rsid w:val="004E331D"/>
    <w:rsid w:val="004E385E"/>
    <w:rsid w:val="004E4263"/>
    <w:rsid w:val="004E64D5"/>
    <w:rsid w:val="004E666D"/>
    <w:rsid w:val="004F0FC9"/>
    <w:rsid w:val="004F11DB"/>
    <w:rsid w:val="004F4D76"/>
    <w:rsid w:val="00500DDD"/>
    <w:rsid w:val="00501C39"/>
    <w:rsid w:val="005029DC"/>
    <w:rsid w:val="0050305F"/>
    <w:rsid w:val="0050519B"/>
    <w:rsid w:val="00507760"/>
    <w:rsid w:val="00507FFC"/>
    <w:rsid w:val="00510B04"/>
    <w:rsid w:val="00511031"/>
    <w:rsid w:val="005119FD"/>
    <w:rsid w:val="00521142"/>
    <w:rsid w:val="00523A84"/>
    <w:rsid w:val="00531BB2"/>
    <w:rsid w:val="00531D47"/>
    <w:rsid w:val="005338CF"/>
    <w:rsid w:val="005406C8"/>
    <w:rsid w:val="0054150B"/>
    <w:rsid w:val="00550096"/>
    <w:rsid w:val="005570F8"/>
    <w:rsid w:val="005609B9"/>
    <w:rsid w:val="00561EA8"/>
    <w:rsid w:val="00562848"/>
    <w:rsid w:val="005638B7"/>
    <w:rsid w:val="00563E96"/>
    <w:rsid w:val="00564DBF"/>
    <w:rsid w:val="00567069"/>
    <w:rsid w:val="005706E0"/>
    <w:rsid w:val="0057388D"/>
    <w:rsid w:val="00573FD1"/>
    <w:rsid w:val="00574DB4"/>
    <w:rsid w:val="00575165"/>
    <w:rsid w:val="00575903"/>
    <w:rsid w:val="00575FA0"/>
    <w:rsid w:val="005817F6"/>
    <w:rsid w:val="00583FEB"/>
    <w:rsid w:val="0058504A"/>
    <w:rsid w:val="00585F93"/>
    <w:rsid w:val="00591D55"/>
    <w:rsid w:val="00592ACD"/>
    <w:rsid w:val="005957BE"/>
    <w:rsid w:val="0059683D"/>
    <w:rsid w:val="0059782D"/>
    <w:rsid w:val="00597DF3"/>
    <w:rsid w:val="005A06BF"/>
    <w:rsid w:val="005A3D71"/>
    <w:rsid w:val="005B0135"/>
    <w:rsid w:val="005B160B"/>
    <w:rsid w:val="005B3D75"/>
    <w:rsid w:val="005B4BD5"/>
    <w:rsid w:val="005B51E4"/>
    <w:rsid w:val="005B6F09"/>
    <w:rsid w:val="005B765A"/>
    <w:rsid w:val="005C213A"/>
    <w:rsid w:val="005C40AC"/>
    <w:rsid w:val="005C5E72"/>
    <w:rsid w:val="005C64FE"/>
    <w:rsid w:val="005D028F"/>
    <w:rsid w:val="005D2898"/>
    <w:rsid w:val="005D43FD"/>
    <w:rsid w:val="005D5774"/>
    <w:rsid w:val="005D58D7"/>
    <w:rsid w:val="005E2AA2"/>
    <w:rsid w:val="005E5E01"/>
    <w:rsid w:val="005E758E"/>
    <w:rsid w:val="005E7E3C"/>
    <w:rsid w:val="005F19F5"/>
    <w:rsid w:val="005F1A75"/>
    <w:rsid w:val="005F1BB9"/>
    <w:rsid w:val="005F248A"/>
    <w:rsid w:val="005F2566"/>
    <w:rsid w:val="005F2D47"/>
    <w:rsid w:val="005F3162"/>
    <w:rsid w:val="005F3C9C"/>
    <w:rsid w:val="005F53D6"/>
    <w:rsid w:val="005F57F8"/>
    <w:rsid w:val="005F718E"/>
    <w:rsid w:val="0060046A"/>
    <w:rsid w:val="00603376"/>
    <w:rsid w:val="006035A4"/>
    <w:rsid w:val="0060423A"/>
    <w:rsid w:val="00604DB3"/>
    <w:rsid w:val="00604FDE"/>
    <w:rsid w:val="00616920"/>
    <w:rsid w:val="006223D9"/>
    <w:rsid w:val="0062295F"/>
    <w:rsid w:val="00623A65"/>
    <w:rsid w:val="00625562"/>
    <w:rsid w:val="00626DF9"/>
    <w:rsid w:val="00627E1C"/>
    <w:rsid w:val="0063022C"/>
    <w:rsid w:val="00633AF5"/>
    <w:rsid w:val="00634877"/>
    <w:rsid w:val="0063750A"/>
    <w:rsid w:val="00640B6A"/>
    <w:rsid w:val="00643E86"/>
    <w:rsid w:val="00644740"/>
    <w:rsid w:val="0064611A"/>
    <w:rsid w:val="00651D80"/>
    <w:rsid w:val="00651F5F"/>
    <w:rsid w:val="00652334"/>
    <w:rsid w:val="006551DE"/>
    <w:rsid w:val="0065778D"/>
    <w:rsid w:val="00662A2D"/>
    <w:rsid w:val="006635AD"/>
    <w:rsid w:val="006656F0"/>
    <w:rsid w:val="0067037D"/>
    <w:rsid w:val="006706A9"/>
    <w:rsid w:val="00670C29"/>
    <w:rsid w:val="00672847"/>
    <w:rsid w:val="0067772E"/>
    <w:rsid w:val="0068240A"/>
    <w:rsid w:val="00690A23"/>
    <w:rsid w:val="00692478"/>
    <w:rsid w:val="0069621A"/>
    <w:rsid w:val="006972D8"/>
    <w:rsid w:val="006A7B8D"/>
    <w:rsid w:val="006A7CB9"/>
    <w:rsid w:val="006A7ED6"/>
    <w:rsid w:val="006B2B62"/>
    <w:rsid w:val="006C3C12"/>
    <w:rsid w:val="006C3DAF"/>
    <w:rsid w:val="006C4590"/>
    <w:rsid w:val="006C6E0F"/>
    <w:rsid w:val="006C7947"/>
    <w:rsid w:val="006C7D34"/>
    <w:rsid w:val="006D166C"/>
    <w:rsid w:val="006D4F16"/>
    <w:rsid w:val="006D7C46"/>
    <w:rsid w:val="006E1122"/>
    <w:rsid w:val="006E2AAF"/>
    <w:rsid w:val="006E3506"/>
    <w:rsid w:val="006E6626"/>
    <w:rsid w:val="006F010C"/>
    <w:rsid w:val="006F2BB2"/>
    <w:rsid w:val="006F748A"/>
    <w:rsid w:val="00700896"/>
    <w:rsid w:val="00703A4F"/>
    <w:rsid w:val="00705186"/>
    <w:rsid w:val="00710263"/>
    <w:rsid w:val="00715079"/>
    <w:rsid w:val="007169BE"/>
    <w:rsid w:val="00717298"/>
    <w:rsid w:val="00717C39"/>
    <w:rsid w:val="00722FE9"/>
    <w:rsid w:val="007241FA"/>
    <w:rsid w:val="00724335"/>
    <w:rsid w:val="00726B6B"/>
    <w:rsid w:val="0073098D"/>
    <w:rsid w:val="00733093"/>
    <w:rsid w:val="00736A17"/>
    <w:rsid w:val="00740344"/>
    <w:rsid w:val="00741295"/>
    <w:rsid w:val="00742963"/>
    <w:rsid w:val="007453E4"/>
    <w:rsid w:val="00747E8E"/>
    <w:rsid w:val="00750CD3"/>
    <w:rsid w:val="007517AC"/>
    <w:rsid w:val="0075506F"/>
    <w:rsid w:val="00756052"/>
    <w:rsid w:val="007600C4"/>
    <w:rsid w:val="00761EE0"/>
    <w:rsid w:val="00762964"/>
    <w:rsid w:val="00766975"/>
    <w:rsid w:val="00773926"/>
    <w:rsid w:val="007843E4"/>
    <w:rsid w:val="00786351"/>
    <w:rsid w:val="00787C5C"/>
    <w:rsid w:val="00792523"/>
    <w:rsid w:val="007936BB"/>
    <w:rsid w:val="00794BDB"/>
    <w:rsid w:val="007A1F2A"/>
    <w:rsid w:val="007A3809"/>
    <w:rsid w:val="007A3988"/>
    <w:rsid w:val="007A74AC"/>
    <w:rsid w:val="007B1E4E"/>
    <w:rsid w:val="007B24E4"/>
    <w:rsid w:val="007B5491"/>
    <w:rsid w:val="007B5FAF"/>
    <w:rsid w:val="007B7C98"/>
    <w:rsid w:val="007C184A"/>
    <w:rsid w:val="007C273E"/>
    <w:rsid w:val="007C3E48"/>
    <w:rsid w:val="007C6E17"/>
    <w:rsid w:val="007D0AAB"/>
    <w:rsid w:val="007D0AD9"/>
    <w:rsid w:val="007D4888"/>
    <w:rsid w:val="007D78CB"/>
    <w:rsid w:val="007E0A25"/>
    <w:rsid w:val="007E19E0"/>
    <w:rsid w:val="007E5E2D"/>
    <w:rsid w:val="007F476E"/>
    <w:rsid w:val="007F571A"/>
    <w:rsid w:val="007F792B"/>
    <w:rsid w:val="00802003"/>
    <w:rsid w:val="00805816"/>
    <w:rsid w:val="00806744"/>
    <w:rsid w:val="00810B5C"/>
    <w:rsid w:val="00810BA5"/>
    <w:rsid w:val="00814F2D"/>
    <w:rsid w:val="00817F5B"/>
    <w:rsid w:val="00820BF7"/>
    <w:rsid w:val="00823ECA"/>
    <w:rsid w:val="00823FD6"/>
    <w:rsid w:val="00830D06"/>
    <w:rsid w:val="00832F38"/>
    <w:rsid w:val="00834D1B"/>
    <w:rsid w:val="00840A8A"/>
    <w:rsid w:val="00842DC9"/>
    <w:rsid w:val="00843ACF"/>
    <w:rsid w:val="00846A0F"/>
    <w:rsid w:val="00851A3D"/>
    <w:rsid w:val="00852224"/>
    <w:rsid w:val="008539E5"/>
    <w:rsid w:val="008567E5"/>
    <w:rsid w:val="00856CE8"/>
    <w:rsid w:val="00856ED0"/>
    <w:rsid w:val="008573A2"/>
    <w:rsid w:val="00857AFE"/>
    <w:rsid w:val="008638D7"/>
    <w:rsid w:val="008639F9"/>
    <w:rsid w:val="00866FF3"/>
    <w:rsid w:val="0086763A"/>
    <w:rsid w:val="008705F4"/>
    <w:rsid w:val="00872B79"/>
    <w:rsid w:val="00877D01"/>
    <w:rsid w:val="0088391A"/>
    <w:rsid w:val="008845FD"/>
    <w:rsid w:val="00884CE5"/>
    <w:rsid w:val="0088662A"/>
    <w:rsid w:val="00886827"/>
    <w:rsid w:val="00890489"/>
    <w:rsid w:val="00891811"/>
    <w:rsid w:val="00895FB3"/>
    <w:rsid w:val="00897CC9"/>
    <w:rsid w:val="008A2646"/>
    <w:rsid w:val="008A2876"/>
    <w:rsid w:val="008A3598"/>
    <w:rsid w:val="008A35D4"/>
    <w:rsid w:val="008A3739"/>
    <w:rsid w:val="008A38A1"/>
    <w:rsid w:val="008A42A4"/>
    <w:rsid w:val="008A58DB"/>
    <w:rsid w:val="008B416D"/>
    <w:rsid w:val="008B4CBD"/>
    <w:rsid w:val="008B7AC1"/>
    <w:rsid w:val="008C0EF5"/>
    <w:rsid w:val="008C1B3B"/>
    <w:rsid w:val="008C2484"/>
    <w:rsid w:val="008D2DC9"/>
    <w:rsid w:val="008D3FEF"/>
    <w:rsid w:val="008D5554"/>
    <w:rsid w:val="008D574C"/>
    <w:rsid w:val="008D5CC4"/>
    <w:rsid w:val="008E15BA"/>
    <w:rsid w:val="008E2B52"/>
    <w:rsid w:val="008E62E8"/>
    <w:rsid w:val="008F32E9"/>
    <w:rsid w:val="008F6271"/>
    <w:rsid w:val="008F6292"/>
    <w:rsid w:val="008F66B7"/>
    <w:rsid w:val="008F6A99"/>
    <w:rsid w:val="008F78E5"/>
    <w:rsid w:val="00900CE4"/>
    <w:rsid w:val="00906439"/>
    <w:rsid w:val="0091088F"/>
    <w:rsid w:val="00911A54"/>
    <w:rsid w:val="00912832"/>
    <w:rsid w:val="00914DFD"/>
    <w:rsid w:val="009154F7"/>
    <w:rsid w:val="009160FE"/>
    <w:rsid w:val="009174D6"/>
    <w:rsid w:val="00927E77"/>
    <w:rsid w:val="00927F96"/>
    <w:rsid w:val="009301EF"/>
    <w:rsid w:val="009304A3"/>
    <w:rsid w:val="00931093"/>
    <w:rsid w:val="009319F2"/>
    <w:rsid w:val="00931C47"/>
    <w:rsid w:val="00933341"/>
    <w:rsid w:val="009341B7"/>
    <w:rsid w:val="00935E20"/>
    <w:rsid w:val="00935FEB"/>
    <w:rsid w:val="00936AAF"/>
    <w:rsid w:val="00936EBB"/>
    <w:rsid w:val="00937679"/>
    <w:rsid w:val="0094007A"/>
    <w:rsid w:val="009400AC"/>
    <w:rsid w:val="009443E9"/>
    <w:rsid w:val="0095530B"/>
    <w:rsid w:val="009622D3"/>
    <w:rsid w:val="00965C37"/>
    <w:rsid w:val="00965E3D"/>
    <w:rsid w:val="009701B2"/>
    <w:rsid w:val="0097024D"/>
    <w:rsid w:val="009722AA"/>
    <w:rsid w:val="00972CB0"/>
    <w:rsid w:val="009740F2"/>
    <w:rsid w:val="00976AB2"/>
    <w:rsid w:val="009805E0"/>
    <w:rsid w:val="0098196C"/>
    <w:rsid w:val="009819B7"/>
    <w:rsid w:val="00983220"/>
    <w:rsid w:val="0098455D"/>
    <w:rsid w:val="00984A00"/>
    <w:rsid w:val="00984D25"/>
    <w:rsid w:val="009857C4"/>
    <w:rsid w:val="009938EA"/>
    <w:rsid w:val="00994D5A"/>
    <w:rsid w:val="00996606"/>
    <w:rsid w:val="009A04B8"/>
    <w:rsid w:val="009A0588"/>
    <w:rsid w:val="009A08AE"/>
    <w:rsid w:val="009A2B32"/>
    <w:rsid w:val="009A5057"/>
    <w:rsid w:val="009A50DD"/>
    <w:rsid w:val="009A7EF7"/>
    <w:rsid w:val="009B010C"/>
    <w:rsid w:val="009B104C"/>
    <w:rsid w:val="009B3676"/>
    <w:rsid w:val="009B5C1E"/>
    <w:rsid w:val="009C165A"/>
    <w:rsid w:val="009C21AA"/>
    <w:rsid w:val="009C238F"/>
    <w:rsid w:val="009C6D2F"/>
    <w:rsid w:val="009D06E5"/>
    <w:rsid w:val="009D0DAD"/>
    <w:rsid w:val="009D14E9"/>
    <w:rsid w:val="009D1710"/>
    <w:rsid w:val="009D31BA"/>
    <w:rsid w:val="009D58DB"/>
    <w:rsid w:val="009D7121"/>
    <w:rsid w:val="009D7263"/>
    <w:rsid w:val="009E39EC"/>
    <w:rsid w:val="009E5007"/>
    <w:rsid w:val="009E5082"/>
    <w:rsid w:val="009E55CD"/>
    <w:rsid w:val="009F271C"/>
    <w:rsid w:val="009F3247"/>
    <w:rsid w:val="009F3527"/>
    <w:rsid w:val="009F53BF"/>
    <w:rsid w:val="009F5E25"/>
    <w:rsid w:val="00A00993"/>
    <w:rsid w:val="00A00E7E"/>
    <w:rsid w:val="00A0144A"/>
    <w:rsid w:val="00A02F05"/>
    <w:rsid w:val="00A04D03"/>
    <w:rsid w:val="00A04E25"/>
    <w:rsid w:val="00A05019"/>
    <w:rsid w:val="00A055AF"/>
    <w:rsid w:val="00A067E3"/>
    <w:rsid w:val="00A07369"/>
    <w:rsid w:val="00A11AA2"/>
    <w:rsid w:val="00A16066"/>
    <w:rsid w:val="00A16207"/>
    <w:rsid w:val="00A16ADA"/>
    <w:rsid w:val="00A16B3F"/>
    <w:rsid w:val="00A20791"/>
    <w:rsid w:val="00A2156F"/>
    <w:rsid w:val="00A2379F"/>
    <w:rsid w:val="00A275E4"/>
    <w:rsid w:val="00A310BF"/>
    <w:rsid w:val="00A31288"/>
    <w:rsid w:val="00A32577"/>
    <w:rsid w:val="00A3340F"/>
    <w:rsid w:val="00A34009"/>
    <w:rsid w:val="00A342E9"/>
    <w:rsid w:val="00A350BA"/>
    <w:rsid w:val="00A360C2"/>
    <w:rsid w:val="00A40F32"/>
    <w:rsid w:val="00A41666"/>
    <w:rsid w:val="00A4437C"/>
    <w:rsid w:val="00A448C9"/>
    <w:rsid w:val="00A47FFD"/>
    <w:rsid w:val="00A501FF"/>
    <w:rsid w:val="00A514F5"/>
    <w:rsid w:val="00A5193C"/>
    <w:rsid w:val="00A51DAC"/>
    <w:rsid w:val="00A52F2E"/>
    <w:rsid w:val="00A55FE9"/>
    <w:rsid w:val="00A5713B"/>
    <w:rsid w:val="00A57AF0"/>
    <w:rsid w:val="00A609CD"/>
    <w:rsid w:val="00A62D20"/>
    <w:rsid w:val="00A631F6"/>
    <w:rsid w:val="00A65B72"/>
    <w:rsid w:val="00A65D41"/>
    <w:rsid w:val="00A7088F"/>
    <w:rsid w:val="00A7547F"/>
    <w:rsid w:val="00A75484"/>
    <w:rsid w:val="00A76211"/>
    <w:rsid w:val="00A765F4"/>
    <w:rsid w:val="00A76C96"/>
    <w:rsid w:val="00A8233D"/>
    <w:rsid w:val="00A8464F"/>
    <w:rsid w:val="00A85A35"/>
    <w:rsid w:val="00A90E70"/>
    <w:rsid w:val="00A94114"/>
    <w:rsid w:val="00A94619"/>
    <w:rsid w:val="00A95579"/>
    <w:rsid w:val="00A95952"/>
    <w:rsid w:val="00A9632A"/>
    <w:rsid w:val="00A972DD"/>
    <w:rsid w:val="00AA017B"/>
    <w:rsid w:val="00AA01F1"/>
    <w:rsid w:val="00AA42B9"/>
    <w:rsid w:val="00AA5C0C"/>
    <w:rsid w:val="00AB0344"/>
    <w:rsid w:val="00AB26EF"/>
    <w:rsid w:val="00AC37F8"/>
    <w:rsid w:val="00AC4013"/>
    <w:rsid w:val="00AC7C9C"/>
    <w:rsid w:val="00AD048E"/>
    <w:rsid w:val="00AD5241"/>
    <w:rsid w:val="00AD551D"/>
    <w:rsid w:val="00AD6CED"/>
    <w:rsid w:val="00AD7F79"/>
    <w:rsid w:val="00AE01E9"/>
    <w:rsid w:val="00AE0FE0"/>
    <w:rsid w:val="00AE1C08"/>
    <w:rsid w:val="00AE6A47"/>
    <w:rsid w:val="00AE6C49"/>
    <w:rsid w:val="00AF00C2"/>
    <w:rsid w:val="00AF18B5"/>
    <w:rsid w:val="00AF49A1"/>
    <w:rsid w:val="00AF7C36"/>
    <w:rsid w:val="00B04A26"/>
    <w:rsid w:val="00B04D59"/>
    <w:rsid w:val="00B051CE"/>
    <w:rsid w:val="00B077DE"/>
    <w:rsid w:val="00B12CF5"/>
    <w:rsid w:val="00B13175"/>
    <w:rsid w:val="00B13532"/>
    <w:rsid w:val="00B1730E"/>
    <w:rsid w:val="00B17D61"/>
    <w:rsid w:val="00B301EF"/>
    <w:rsid w:val="00B33854"/>
    <w:rsid w:val="00B33CE9"/>
    <w:rsid w:val="00B34621"/>
    <w:rsid w:val="00B355AE"/>
    <w:rsid w:val="00B37FE6"/>
    <w:rsid w:val="00B4123E"/>
    <w:rsid w:val="00B42FEF"/>
    <w:rsid w:val="00B511F3"/>
    <w:rsid w:val="00B516FA"/>
    <w:rsid w:val="00B54C3F"/>
    <w:rsid w:val="00B57A8F"/>
    <w:rsid w:val="00B60FBD"/>
    <w:rsid w:val="00B634FE"/>
    <w:rsid w:val="00B675A6"/>
    <w:rsid w:val="00B67930"/>
    <w:rsid w:val="00B70E9B"/>
    <w:rsid w:val="00B71EED"/>
    <w:rsid w:val="00B72357"/>
    <w:rsid w:val="00B7578A"/>
    <w:rsid w:val="00B7715B"/>
    <w:rsid w:val="00B80BA6"/>
    <w:rsid w:val="00B82D9D"/>
    <w:rsid w:val="00B83BDE"/>
    <w:rsid w:val="00B91325"/>
    <w:rsid w:val="00B97043"/>
    <w:rsid w:val="00B97068"/>
    <w:rsid w:val="00BA214F"/>
    <w:rsid w:val="00BA380F"/>
    <w:rsid w:val="00BA63BC"/>
    <w:rsid w:val="00BB0417"/>
    <w:rsid w:val="00BC0434"/>
    <w:rsid w:val="00BC147A"/>
    <w:rsid w:val="00BC774D"/>
    <w:rsid w:val="00BD4715"/>
    <w:rsid w:val="00BD57ED"/>
    <w:rsid w:val="00BD678E"/>
    <w:rsid w:val="00BE3CBD"/>
    <w:rsid w:val="00BE4486"/>
    <w:rsid w:val="00BE65BA"/>
    <w:rsid w:val="00BE7B00"/>
    <w:rsid w:val="00BF080B"/>
    <w:rsid w:val="00BF088C"/>
    <w:rsid w:val="00BF09CF"/>
    <w:rsid w:val="00BF0B17"/>
    <w:rsid w:val="00BF1E51"/>
    <w:rsid w:val="00BF3564"/>
    <w:rsid w:val="00BF75D3"/>
    <w:rsid w:val="00C00F4C"/>
    <w:rsid w:val="00C040E6"/>
    <w:rsid w:val="00C04B73"/>
    <w:rsid w:val="00C04D8A"/>
    <w:rsid w:val="00C1153F"/>
    <w:rsid w:val="00C12A7B"/>
    <w:rsid w:val="00C134BC"/>
    <w:rsid w:val="00C165DF"/>
    <w:rsid w:val="00C21550"/>
    <w:rsid w:val="00C22004"/>
    <w:rsid w:val="00C3023A"/>
    <w:rsid w:val="00C316BC"/>
    <w:rsid w:val="00C331F6"/>
    <w:rsid w:val="00C33C3D"/>
    <w:rsid w:val="00C351A9"/>
    <w:rsid w:val="00C36577"/>
    <w:rsid w:val="00C42124"/>
    <w:rsid w:val="00C42A45"/>
    <w:rsid w:val="00C42A6F"/>
    <w:rsid w:val="00C42E47"/>
    <w:rsid w:val="00C435CC"/>
    <w:rsid w:val="00C45B28"/>
    <w:rsid w:val="00C47E26"/>
    <w:rsid w:val="00C519F3"/>
    <w:rsid w:val="00C54971"/>
    <w:rsid w:val="00C55CB1"/>
    <w:rsid w:val="00C5682F"/>
    <w:rsid w:val="00C6048F"/>
    <w:rsid w:val="00C60B4C"/>
    <w:rsid w:val="00C627CD"/>
    <w:rsid w:val="00C64FB2"/>
    <w:rsid w:val="00C65931"/>
    <w:rsid w:val="00C65A15"/>
    <w:rsid w:val="00C664D0"/>
    <w:rsid w:val="00C66EE1"/>
    <w:rsid w:val="00C67644"/>
    <w:rsid w:val="00C705D5"/>
    <w:rsid w:val="00C706B1"/>
    <w:rsid w:val="00C72633"/>
    <w:rsid w:val="00C734AB"/>
    <w:rsid w:val="00C778B2"/>
    <w:rsid w:val="00C8281E"/>
    <w:rsid w:val="00C83DF2"/>
    <w:rsid w:val="00C84539"/>
    <w:rsid w:val="00C91AEE"/>
    <w:rsid w:val="00C929EC"/>
    <w:rsid w:val="00C93959"/>
    <w:rsid w:val="00C93AF3"/>
    <w:rsid w:val="00C947FD"/>
    <w:rsid w:val="00C94B5D"/>
    <w:rsid w:val="00C973A0"/>
    <w:rsid w:val="00CA1159"/>
    <w:rsid w:val="00CA28F0"/>
    <w:rsid w:val="00CA429F"/>
    <w:rsid w:val="00CA622A"/>
    <w:rsid w:val="00CA79A2"/>
    <w:rsid w:val="00CA7C02"/>
    <w:rsid w:val="00CB1F3A"/>
    <w:rsid w:val="00CB6865"/>
    <w:rsid w:val="00CB7082"/>
    <w:rsid w:val="00CC1D18"/>
    <w:rsid w:val="00CC5F2A"/>
    <w:rsid w:val="00CD61DD"/>
    <w:rsid w:val="00CD7119"/>
    <w:rsid w:val="00CD7A60"/>
    <w:rsid w:val="00CE0560"/>
    <w:rsid w:val="00CE29BF"/>
    <w:rsid w:val="00CE3575"/>
    <w:rsid w:val="00CE644D"/>
    <w:rsid w:val="00CF1269"/>
    <w:rsid w:val="00CF1390"/>
    <w:rsid w:val="00CF1ADC"/>
    <w:rsid w:val="00CF39A8"/>
    <w:rsid w:val="00D01F4D"/>
    <w:rsid w:val="00D03227"/>
    <w:rsid w:val="00D03EEB"/>
    <w:rsid w:val="00D04A45"/>
    <w:rsid w:val="00D0738B"/>
    <w:rsid w:val="00D133E5"/>
    <w:rsid w:val="00D14A74"/>
    <w:rsid w:val="00D16A6F"/>
    <w:rsid w:val="00D2051E"/>
    <w:rsid w:val="00D20EE0"/>
    <w:rsid w:val="00D21DD7"/>
    <w:rsid w:val="00D22DED"/>
    <w:rsid w:val="00D2328D"/>
    <w:rsid w:val="00D24E58"/>
    <w:rsid w:val="00D27521"/>
    <w:rsid w:val="00D2765B"/>
    <w:rsid w:val="00D27739"/>
    <w:rsid w:val="00D306B0"/>
    <w:rsid w:val="00D36CD2"/>
    <w:rsid w:val="00D3739D"/>
    <w:rsid w:val="00D375B3"/>
    <w:rsid w:val="00D378F9"/>
    <w:rsid w:val="00D4369C"/>
    <w:rsid w:val="00D43F65"/>
    <w:rsid w:val="00D44DA6"/>
    <w:rsid w:val="00D46C55"/>
    <w:rsid w:val="00D520AD"/>
    <w:rsid w:val="00D536B7"/>
    <w:rsid w:val="00D55F32"/>
    <w:rsid w:val="00D7424C"/>
    <w:rsid w:val="00D800CC"/>
    <w:rsid w:val="00D82125"/>
    <w:rsid w:val="00D82D86"/>
    <w:rsid w:val="00D835F1"/>
    <w:rsid w:val="00D850FB"/>
    <w:rsid w:val="00D8788E"/>
    <w:rsid w:val="00D95112"/>
    <w:rsid w:val="00D955AA"/>
    <w:rsid w:val="00DA3732"/>
    <w:rsid w:val="00DA3FDB"/>
    <w:rsid w:val="00DA4951"/>
    <w:rsid w:val="00DA736F"/>
    <w:rsid w:val="00DB4F19"/>
    <w:rsid w:val="00DB54EA"/>
    <w:rsid w:val="00DC07F3"/>
    <w:rsid w:val="00DC2584"/>
    <w:rsid w:val="00DC3329"/>
    <w:rsid w:val="00DC36D2"/>
    <w:rsid w:val="00DC3B9E"/>
    <w:rsid w:val="00DC652B"/>
    <w:rsid w:val="00DC7750"/>
    <w:rsid w:val="00DD09E7"/>
    <w:rsid w:val="00DD511D"/>
    <w:rsid w:val="00DD70D1"/>
    <w:rsid w:val="00DD72ED"/>
    <w:rsid w:val="00DE02B9"/>
    <w:rsid w:val="00DE251D"/>
    <w:rsid w:val="00DE4AA9"/>
    <w:rsid w:val="00DE66E8"/>
    <w:rsid w:val="00DE76BE"/>
    <w:rsid w:val="00DF0C61"/>
    <w:rsid w:val="00DF336F"/>
    <w:rsid w:val="00DF6CE4"/>
    <w:rsid w:val="00E00476"/>
    <w:rsid w:val="00E038E5"/>
    <w:rsid w:val="00E04602"/>
    <w:rsid w:val="00E1010C"/>
    <w:rsid w:val="00E1359B"/>
    <w:rsid w:val="00E15A23"/>
    <w:rsid w:val="00E17581"/>
    <w:rsid w:val="00E17EAA"/>
    <w:rsid w:val="00E231E8"/>
    <w:rsid w:val="00E23B8A"/>
    <w:rsid w:val="00E24A0D"/>
    <w:rsid w:val="00E30276"/>
    <w:rsid w:val="00E32AA9"/>
    <w:rsid w:val="00E33EE5"/>
    <w:rsid w:val="00E33F2C"/>
    <w:rsid w:val="00E34263"/>
    <w:rsid w:val="00E34F52"/>
    <w:rsid w:val="00E401CB"/>
    <w:rsid w:val="00E4219D"/>
    <w:rsid w:val="00E44E4C"/>
    <w:rsid w:val="00E4738E"/>
    <w:rsid w:val="00E476E2"/>
    <w:rsid w:val="00E50061"/>
    <w:rsid w:val="00E527E3"/>
    <w:rsid w:val="00E53C92"/>
    <w:rsid w:val="00E546B1"/>
    <w:rsid w:val="00E62CA6"/>
    <w:rsid w:val="00E66939"/>
    <w:rsid w:val="00E66996"/>
    <w:rsid w:val="00E67038"/>
    <w:rsid w:val="00E72479"/>
    <w:rsid w:val="00E724DC"/>
    <w:rsid w:val="00E731DE"/>
    <w:rsid w:val="00E75250"/>
    <w:rsid w:val="00E75CCC"/>
    <w:rsid w:val="00E75D34"/>
    <w:rsid w:val="00E82FDC"/>
    <w:rsid w:val="00E851BE"/>
    <w:rsid w:val="00E85BF3"/>
    <w:rsid w:val="00E866F6"/>
    <w:rsid w:val="00E90C33"/>
    <w:rsid w:val="00E92059"/>
    <w:rsid w:val="00E9361F"/>
    <w:rsid w:val="00E946EE"/>
    <w:rsid w:val="00E94E10"/>
    <w:rsid w:val="00E9642C"/>
    <w:rsid w:val="00EA007C"/>
    <w:rsid w:val="00EA012A"/>
    <w:rsid w:val="00EA0CBA"/>
    <w:rsid w:val="00EA43EF"/>
    <w:rsid w:val="00EA5E80"/>
    <w:rsid w:val="00EA6887"/>
    <w:rsid w:val="00EA744A"/>
    <w:rsid w:val="00EB22D5"/>
    <w:rsid w:val="00EB2FFC"/>
    <w:rsid w:val="00EB46FA"/>
    <w:rsid w:val="00EB6C5A"/>
    <w:rsid w:val="00EB6F50"/>
    <w:rsid w:val="00EC03B6"/>
    <w:rsid w:val="00EC043A"/>
    <w:rsid w:val="00EC05D0"/>
    <w:rsid w:val="00EC0B7F"/>
    <w:rsid w:val="00EC17F8"/>
    <w:rsid w:val="00EC2BF8"/>
    <w:rsid w:val="00EC343E"/>
    <w:rsid w:val="00EC62E2"/>
    <w:rsid w:val="00ED29B0"/>
    <w:rsid w:val="00ED4626"/>
    <w:rsid w:val="00ED5772"/>
    <w:rsid w:val="00ED5E98"/>
    <w:rsid w:val="00ED615C"/>
    <w:rsid w:val="00ED6DF3"/>
    <w:rsid w:val="00ED7B89"/>
    <w:rsid w:val="00EE409D"/>
    <w:rsid w:val="00EE4E4D"/>
    <w:rsid w:val="00EF088D"/>
    <w:rsid w:val="00EF1BFF"/>
    <w:rsid w:val="00EF3B47"/>
    <w:rsid w:val="00EF4CB7"/>
    <w:rsid w:val="00EF5511"/>
    <w:rsid w:val="00EF58AD"/>
    <w:rsid w:val="00EF65CA"/>
    <w:rsid w:val="00EF6D2A"/>
    <w:rsid w:val="00F00581"/>
    <w:rsid w:val="00F00B57"/>
    <w:rsid w:val="00F01894"/>
    <w:rsid w:val="00F05307"/>
    <w:rsid w:val="00F066C1"/>
    <w:rsid w:val="00F102E3"/>
    <w:rsid w:val="00F1172E"/>
    <w:rsid w:val="00F123D8"/>
    <w:rsid w:val="00F15B5C"/>
    <w:rsid w:val="00F15FD4"/>
    <w:rsid w:val="00F177A8"/>
    <w:rsid w:val="00F204AF"/>
    <w:rsid w:val="00F23A0C"/>
    <w:rsid w:val="00F25C06"/>
    <w:rsid w:val="00F33953"/>
    <w:rsid w:val="00F35D4F"/>
    <w:rsid w:val="00F36C97"/>
    <w:rsid w:val="00F41337"/>
    <w:rsid w:val="00F46B73"/>
    <w:rsid w:val="00F51516"/>
    <w:rsid w:val="00F5412B"/>
    <w:rsid w:val="00F601E4"/>
    <w:rsid w:val="00F65B57"/>
    <w:rsid w:val="00F66C8F"/>
    <w:rsid w:val="00F671AB"/>
    <w:rsid w:val="00F71F5D"/>
    <w:rsid w:val="00F722C9"/>
    <w:rsid w:val="00F7393D"/>
    <w:rsid w:val="00F75039"/>
    <w:rsid w:val="00F75DF9"/>
    <w:rsid w:val="00F81D9F"/>
    <w:rsid w:val="00F843D0"/>
    <w:rsid w:val="00F84A63"/>
    <w:rsid w:val="00F957D0"/>
    <w:rsid w:val="00F97A2E"/>
    <w:rsid w:val="00FA5179"/>
    <w:rsid w:val="00FA6338"/>
    <w:rsid w:val="00FA6FB3"/>
    <w:rsid w:val="00FB2AFF"/>
    <w:rsid w:val="00FB2E3D"/>
    <w:rsid w:val="00FB47B1"/>
    <w:rsid w:val="00FB4E12"/>
    <w:rsid w:val="00FB5B4A"/>
    <w:rsid w:val="00FB5F43"/>
    <w:rsid w:val="00FB62D6"/>
    <w:rsid w:val="00FB6EAC"/>
    <w:rsid w:val="00FC029C"/>
    <w:rsid w:val="00FC2116"/>
    <w:rsid w:val="00FD3BB3"/>
    <w:rsid w:val="00FE0BFE"/>
    <w:rsid w:val="00FE39AB"/>
    <w:rsid w:val="00FE4461"/>
    <w:rsid w:val="00FE5A5B"/>
    <w:rsid w:val="00FE5F95"/>
    <w:rsid w:val="00FE70A2"/>
    <w:rsid w:val="00FF015B"/>
    <w:rsid w:val="00FF7B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23ECA"/>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uiPriority w:val="99"/>
    <w:rsid w:val="00823ECA"/>
    <w:pPr>
      <w:autoSpaceDE w:val="0"/>
      <w:autoSpaceDN w:val="0"/>
      <w:adjustRightInd w:val="0"/>
    </w:pPr>
    <w:rPr>
      <w:rFonts w:ascii="Bodoni MT" w:hAnsi="Bodoni MT" w:cs="Bodoni MT"/>
      <w:color w:val="000000"/>
      <w:sz w:val="24"/>
      <w:szCs w:val="24"/>
    </w:rPr>
  </w:style>
  <w:style w:type="paragraph" w:styleId="Testofumetto">
    <w:name w:val="Balloon Text"/>
    <w:basedOn w:val="Normale"/>
    <w:link w:val="TestofumettoCarattere"/>
    <w:uiPriority w:val="99"/>
    <w:semiHidden/>
    <w:rsid w:val="00823ECA"/>
    <w:pPr>
      <w:spacing w:after="0" w:line="240" w:lineRule="auto"/>
    </w:pPr>
    <w:rPr>
      <w:rFonts w:ascii="Tahoma" w:hAnsi="Tahoma"/>
      <w:sz w:val="16"/>
      <w:szCs w:val="20"/>
      <w:lang w:eastAsia="it-IT"/>
    </w:rPr>
  </w:style>
  <w:style w:type="character" w:customStyle="1" w:styleId="TestofumettoCarattere">
    <w:name w:val="Testo fumetto Carattere"/>
    <w:link w:val="Testofumetto"/>
    <w:uiPriority w:val="99"/>
    <w:semiHidden/>
    <w:locked/>
    <w:rsid w:val="00823ECA"/>
    <w:rPr>
      <w:rFonts w:ascii="Tahoma" w:hAnsi="Tahoma"/>
      <w:sz w:val="16"/>
    </w:rPr>
  </w:style>
  <w:style w:type="paragraph" w:styleId="Paragrafoelenco">
    <w:name w:val="List Paragraph"/>
    <w:basedOn w:val="Normale"/>
    <w:uiPriority w:val="99"/>
    <w:qFormat/>
    <w:rsid w:val="006D7C46"/>
    <w:pPr>
      <w:ind w:left="720"/>
      <w:contextualSpacing/>
    </w:pPr>
  </w:style>
  <w:style w:type="table" w:customStyle="1" w:styleId="GridTable4-Accent51">
    <w:name w:val="Grid Table 4 - Accent 51"/>
    <w:uiPriority w:val="99"/>
    <w:rsid w:val="00330883"/>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style>
  <w:style w:type="paragraph" w:styleId="NormaleWeb">
    <w:name w:val="Normal (Web)"/>
    <w:basedOn w:val="Normale"/>
    <w:uiPriority w:val="99"/>
    <w:rsid w:val="00E67038"/>
    <w:pPr>
      <w:spacing w:before="100" w:beforeAutospacing="1" w:after="119" w:line="240" w:lineRule="auto"/>
    </w:pPr>
    <w:rPr>
      <w:rFonts w:ascii="Times New Roman" w:eastAsia="Times New Roman" w:hAnsi="Times New Roman"/>
      <w:sz w:val="24"/>
      <w:szCs w:val="24"/>
      <w:lang w:eastAsia="it-IT"/>
    </w:rPr>
  </w:style>
  <w:style w:type="table" w:customStyle="1" w:styleId="TableGrid1">
    <w:name w:val="Table Grid1"/>
    <w:uiPriority w:val="99"/>
    <w:rsid w:val="006F01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gliatabella">
    <w:name w:val="Table Grid"/>
    <w:basedOn w:val="Tabellanormale"/>
    <w:uiPriority w:val="99"/>
    <w:rsid w:val="006F01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rsid w:val="001D352C"/>
    <w:pPr>
      <w:tabs>
        <w:tab w:val="center" w:pos="4819"/>
        <w:tab w:val="right" w:pos="9638"/>
      </w:tabs>
      <w:spacing w:after="0" w:line="240" w:lineRule="auto"/>
    </w:pPr>
    <w:rPr>
      <w:sz w:val="20"/>
      <w:szCs w:val="20"/>
      <w:lang w:eastAsia="it-IT"/>
    </w:rPr>
  </w:style>
  <w:style w:type="character" w:customStyle="1" w:styleId="IntestazioneCarattere">
    <w:name w:val="Intestazione Carattere"/>
    <w:link w:val="Intestazione"/>
    <w:uiPriority w:val="99"/>
    <w:locked/>
    <w:rsid w:val="001D352C"/>
    <w:rPr>
      <w:rFonts w:ascii="Calibri" w:hAnsi="Calibri"/>
    </w:rPr>
  </w:style>
  <w:style w:type="paragraph" w:styleId="Pidipagina">
    <w:name w:val="footer"/>
    <w:basedOn w:val="Normale"/>
    <w:link w:val="PidipaginaCarattere"/>
    <w:uiPriority w:val="99"/>
    <w:rsid w:val="001D352C"/>
    <w:pPr>
      <w:tabs>
        <w:tab w:val="center" w:pos="4819"/>
        <w:tab w:val="right" w:pos="9638"/>
      </w:tabs>
      <w:spacing w:after="0" w:line="240" w:lineRule="auto"/>
    </w:pPr>
    <w:rPr>
      <w:sz w:val="20"/>
      <w:szCs w:val="20"/>
      <w:lang w:eastAsia="it-IT"/>
    </w:rPr>
  </w:style>
  <w:style w:type="character" w:customStyle="1" w:styleId="PidipaginaCarattere">
    <w:name w:val="Piè di pagina Carattere"/>
    <w:link w:val="Pidipagina"/>
    <w:uiPriority w:val="99"/>
    <w:locked/>
    <w:rsid w:val="001D352C"/>
    <w:rPr>
      <w:rFonts w:ascii="Calibri" w:hAnsi="Calibri"/>
    </w:rPr>
  </w:style>
  <w:style w:type="paragraph" w:customStyle="1" w:styleId="rtejustify">
    <w:name w:val="rtejustify"/>
    <w:basedOn w:val="Normale"/>
    <w:uiPriority w:val="99"/>
    <w:rsid w:val="00015B3C"/>
    <w:pPr>
      <w:spacing w:before="100" w:beforeAutospacing="1" w:after="100" w:afterAutospacing="1" w:line="240" w:lineRule="auto"/>
    </w:pPr>
    <w:rPr>
      <w:rFonts w:ascii="Times New Roman" w:eastAsia="Times New Roman" w:hAnsi="Times New Roman"/>
      <w:sz w:val="24"/>
      <w:szCs w:val="24"/>
      <w:lang w:eastAsia="it-IT"/>
    </w:rPr>
  </w:style>
  <w:style w:type="paragraph" w:styleId="PreformattatoHTML">
    <w:name w:val="HTML Preformatted"/>
    <w:basedOn w:val="Normale"/>
    <w:link w:val="PreformattatoHTMLCarattere"/>
    <w:uiPriority w:val="99"/>
    <w:rsid w:val="00447E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rPr>
  </w:style>
  <w:style w:type="character" w:customStyle="1" w:styleId="PreformattatoHTMLCarattere">
    <w:name w:val="Preformattato HTML Carattere"/>
    <w:link w:val="PreformattatoHTML"/>
    <w:uiPriority w:val="99"/>
    <w:semiHidden/>
    <w:locked/>
    <w:rsid w:val="00192E35"/>
    <w:rPr>
      <w:rFonts w:ascii="Courier New" w:hAnsi="Courier New"/>
      <w:sz w:val="20"/>
      <w:lang w:eastAsia="en-US"/>
    </w:rPr>
  </w:style>
  <w:style w:type="character" w:customStyle="1" w:styleId="markedcontent">
    <w:name w:val="markedcontent"/>
    <w:uiPriority w:val="99"/>
    <w:rsid w:val="00F7393D"/>
  </w:style>
  <w:style w:type="paragraph" w:customStyle="1" w:styleId="ListParagraph1">
    <w:name w:val="List Paragraph1"/>
    <w:basedOn w:val="Normale"/>
    <w:uiPriority w:val="99"/>
    <w:rsid w:val="00F05307"/>
    <w:pPr>
      <w:ind w:left="720"/>
    </w:pPr>
    <w:rPr>
      <w:rFonts w:eastAsia="Times New Roman"/>
      <w:lang w:eastAsia="ar-SA"/>
    </w:rPr>
  </w:style>
  <w:style w:type="paragraph" w:styleId="Testonotaapidipagina">
    <w:name w:val="footnote text"/>
    <w:basedOn w:val="Normale"/>
    <w:link w:val="TestonotaapidipaginaCarattere"/>
    <w:uiPriority w:val="99"/>
    <w:semiHidden/>
    <w:rsid w:val="009857C4"/>
    <w:rPr>
      <w:sz w:val="20"/>
      <w:szCs w:val="20"/>
    </w:rPr>
  </w:style>
  <w:style w:type="character" w:customStyle="1" w:styleId="TestonotaapidipaginaCarattere">
    <w:name w:val="Testo nota a piè di pagina Carattere"/>
    <w:link w:val="Testonotaapidipagina"/>
    <w:uiPriority w:val="99"/>
    <w:semiHidden/>
    <w:locked/>
    <w:rsid w:val="005F248A"/>
    <w:rPr>
      <w:sz w:val="20"/>
      <w:lang w:eastAsia="en-US"/>
    </w:rPr>
  </w:style>
  <w:style w:type="character" w:styleId="Rimandonotaapidipagina">
    <w:name w:val="footnote reference"/>
    <w:uiPriority w:val="99"/>
    <w:semiHidden/>
    <w:rsid w:val="009857C4"/>
    <w:rPr>
      <w:rFonts w:cs="Times New Roman"/>
      <w:vertAlign w:val="superscript"/>
    </w:rPr>
  </w:style>
  <w:style w:type="paragraph" w:customStyle="1" w:styleId="Testodelblocco1">
    <w:name w:val="Testo del blocco1"/>
    <w:basedOn w:val="Normale"/>
    <w:uiPriority w:val="99"/>
    <w:rsid w:val="00E66939"/>
    <w:pPr>
      <w:suppressAutoHyphens/>
      <w:spacing w:after="0" w:line="240" w:lineRule="auto"/>
      <w:ind w:left="1985" w:right="707" w:hanging="851"/>
      <w:jc w:val="both"/>
    </w:pPr>
    <w:rPr>
      <w:rFonts w:ascii="Arial" w:hAnsi="Arial"/>
      <w:szCs w:val="20"/>
      <w:lang w:eastAsia="ar-SA"/>
    </w:rPr>
  </w:style>
  <w:style w:type="character" w:styleId="Enfasigrassetto">
    <w:name w:val="Strong"/>
    <w:uiPriority w:val="99"/>
    <w:qFormat/>
    <w:locked/>
    <w:rsid w:val="001A252C"/>
    <w:rPr>
      <w:rFonts w:cs="Times New Roman"/>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23ECA"/>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uiPriority w:val="99"/>
    <w:rsid w:val="00823ECA"/>
    <w:pPr>
      <w:autoSpaceDE w:val="0"/>
      <w:autoSpaceDN w:val="0"/>
      <w:adjustRightInd w:val="0"/>
    </w:pPr>
    <w:rPr>
      <w:rFonts w:ascii="Bodoni MT" w:hAnsi="Bodoni MT" w:cs="Bodoni MT"/>
      <w:color w:val="000000"/>
      <w:sz w:val="24"/>
      <w:szCs w:val="24"/>
    </w:rPr>
  </w:style>
  <w:style w:type="paragraph" w:styleId="Testofumetto">
    <w:name w:val="Balloon Text"/>
    <w:basedOn w:val="Normale"/>
    <w:link w:val="TestofumettoCarattere"/>
    <w:uiPriority w:val="99"/>
    <w:semiHidden/>
    <w:rsid w:val="00823ECA"/>
    <w:pPr>
      <w:spacing w:after="0" w:line="240" w:lineRule="auto"/>
    </w:pPr>
    <w:rPr>
      <w:rFonts w:ascii="Tahoma" w:hAnsi="Tahoma"/>
      <w:sz w:val="16"/>
      <w:szCs w:val="20"/>
      <w:lang w:eastAsia="it-IT"/>
    </w:rPr>
  </w:style>
  <w:style w:type="character" w:customStyle="1" w:styleId="TestofumettoCarattere">
    <w:name w:val="Testo fumetto Carattere"/>
    <w:link w:val="Testofumetto"/>
    <w:uiPriority w:val="99"/>
    <w:semiHidden/>
    <w:locked/>
    <w:rsid w:val="00823ECA"/>
    <w:rPr>
      <w:rFonts w:ascii="Tahoma" w:hAnsi="Tahoma"/>
      <w:sz w:val="16"/>
    </w:rPr>
  </w:style>
  <w:style w:type="paragraph" w:styleId="Paragrafoelenco">
    <w:name w:val="List Paragraph"/>
    <w:basedOn w:val="Normale"/>
    <w:uiPriority w:val="99"/>
    <w:qFormat/>
    <w:rsid w:val="006D7C46"/>
    <w:pPr>
      <w:ind w:left="720"/>
      <w:contextualSpacing/>
    </w:pPr>
  </w:style>
  <w:style w:type="table" w:customStyle="1" w:styleId="GridTable4-Accent51">
    <w:name w:val="Grid Table 4 - Accent 51"/>
    <w:uiPriority w:val="99"/>
    <w:rsid w:val="00330883"/>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style>
  <w:style w:type="paragraph" w:styleId="NormaleWeb">
    <w:name w:val="Normal (Web)"/>
    <w:basedOn w:val="Normale"/>
    <w:uiPriority w:val="99"/>
    <w:rsid w:val="00E67038"/>
    <w:pPr>
      <w:spacing w:before="100" w:beforeAutospacing="1" w:after="119" w:line="240" w:lineRule="auto"/>
    </w:pPr>
    <w:rPr>
      <w:rFonts w:ascii="Times New Roman" w:eastAsia="Times New Roman" w:hAnsi="Times New Roman"/>
      <w:sz w:val="24"/>
      <w:szCs w:val="24"/>
      <w:lang w:eastAsia="it-IT"/>
    </w:rPr>
  </w:style>
  <w:style w:type="table" w:customStyle="1" w:styleId="TableGrid1">
    <w:name w:val="Table Grid1"/>
    <w:uiPriority w:val="99"/>
    <w:rsid w:val="006F01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gliatabella">
    <w:name w:val="Table Grid"/>
    <w:basedOn w:val="Tabellanormale"/>
    <w:uiPriority w:val="99"/>
    <w:rsid w:val="006F01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rsid w:val="001D352C"/>
    <w:pPr>
      <w:tabs>
        <w:tab w:val="center" w:pos="4819"/>
        <w:tab w:val="right" w:pos="9638"/>
      </w:tabs>
      <w:spacing w:after="0" w:line="240" w:lineRule="auto"/>
    </w:pPr>
    <w:rPr>
      <w:sz w:val="20"/>
      <w:szCs w:val="20"/>
      <w:lang w:eastAsia="it-IT"/>
    </w:rPr>
  </w:style>
  <w:style w:type="character" w:customStyle="1" w:styleId="IntestazioneCarattere">
    <w:name w:val="Intestazione Carattere"/>
    <w:link w:val="Intestazione"/>
    <w:uiPriority w:val="99"/>
    <w:locked/>
    <w:rsid w:val="001D352C"/>
    <w:rPr>
      <w:rFonts w:ascii="Calibri" w:hAnsi="Calibri"/>
    </w:rPr>
  </w:style>
  <w:style w:type="paragraph" w:styleId="Pidipagina">
    <w:name w:val="footer"/>
    <w:basedOn w:val="Normale"/>
    <w:link w:val="PidipaginaCarattere"/>
    <w:uiPriority w:val="99"/>
    <w:rsid w:val="001D352C"/>
    <w:pPr>
      <w:tabs>
        <w:tab w:val="center" w:pos="4819"/>
        <w:tab w:val="right" w:pos="9638"/>
      </w:tabs>
      <w:spacing w:after="0" w:line="240" w:lineRule="auto"/>
    </w:pPr>
    <w:rPr>
      <w:sz w:val="20"/>
      <w:szCs w:val="20"/>
      <w:lang w:eastAsia="it-IT"/>
    </w:rPr>
  </w:style>
  <w:style w:type="character" w:customStyle="1" w:styleId="PidipaginaCarattere">
    <w:name w:val="Piè di pagina Carattere"/>
    <w:link w:val="Pidipagina"/>
    <w:uiPriority w:val="99"/>
    <w:locked/>
    <w:rsid w:val="001D352C"/>
    <w:rPr>
      <w:rFonts w:ascii="Calibri" w:hAnsi="Calibri"/>
    </w:rPr>
  </w:style>
  <w:style w:type="paragraph" w:customStyle="1" w:styleId="rtejustify">
    <w:name w:val="rtejustify"/>
    <w:basedOn w:val="Normale"/>
    <w:uiPriority w:val="99"/>
    <w:rsid w:val="00015B3C"/>
    <w:pPr>
      <w:spacing w:before="100" w:beforeAutospacing="1" w:after="100" w:afterAutospacing="1" w:line="240" w:lineRule="auto"/>
    </w:pPr>
    <w:rPr>
      <w:rFonts w:ascii="Times New Roman" w:eastAsia="Times New Roman" w:hAnsi="Times New Roman"/>
      <w:sz w:val="24"/>
      <w:szCs w:val="24"/>
      <w:lang w:eastAsia="it-IT"/>
    </w:rPr>
  </w:style>
  <w:style w:type="paragraph" w:styleId="PreformattatoHTML">
    <w:name w:val="HTML Preformatted"/>
    <w:basedOn w:val="Normale"/>
    <w:link w:val="PreformattatoHTMLCarattere"/>
    <w:uiPriority w:val="99"/>
    <w:rsid w:val="00447E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rPr>
  </w:style>
  <w:style w:type="character" w:customStyle="1" w:styleId="PreformattatoHTMLCarattere">
    <w:name w:val="Preformattato HTML Carattere"/>
    <w:link w:val="PreformattatoHTML"/>
    <w:uiPriority w:val="99"/>
    <w:semiHidden/>
    <w:locked/>
    <w:rsid w:val="00192E35"/>
    <w:rPr>
      <w:rFonts w:ascii="Courier New" w:hAnsi="Courier New"/>
      <w:sz w:val="20"/>
      <w:lang w:eastAsia="en-US"/>
    </w:rPr>
  </w:style>
  <w:style w:type="character" w:customStyle="1" w:styleId="markedcontent">
    <w:name w:val="markedcontent"/>
    <w:uiPriority w:val="99"/>
    <w:rsid w:val="00F7393D"/>
  </w:style>
  <w:style w:type="paragraph" w:customStyle="1" w:styleId="ListParagraph1">
    <w:name w:val="List Paragraph1"/>
    <w:basedOn w:val="Normale"/>
    <w:uiPriority w:val="99"/>
    <w:rsid w:val="00F05307"/>
    <w:pPr>
      <w:ind w:left="720"/>
    </w:pPr>
    <w:rPr>
      <w:rFonts w:eastAsia="Times New Roman"/>
      <w:lang w:eastAsia="ar-SA"/>
    </w:rPr>
  </w:style>
  <w:style w:type="paragraph" w:styleId="Testonotaapidipagina">
    <w:name w:val="footnote text"/>
    <w:basedOn w:val="Normale"/>
    <w:link w:val="TestonotaapidipaginaCarattere"/>
    <w:uiPriority w:val="99"/>
    <w:semiHidden/>
    <w:rsid w:val="009857C4"/>
    <w:rPr>
      <w:sz w:val="20"/>
      <w:szCs w:val="20"/>
    </w:rPr>
  </w:style>
  <w:style w:type="character" w:customStyle="1" w:styleId="TestonotaapidipaginaCarattere">
    <w:name w:val="Testo nota a piè di pagina Carattere"/>
    <w:link w:val="Testonotaapidipagina"/>
    <w:uiPriority w:val="99"/>
    <w:semiHidden/>
    <w:locked/>
    <w:rsid w:val="005F248A"/>
    <w:rPr>
      <w:sz w:val="20"/>
      <w:lang w:eastAsia="en-US"/>
    </w:rPr>
  </w:style>
  <w:style w:type="character" w:styleId="Rimandonotaapidipagina">
    <w:name w:val="footnote reference"/>
    <w:uiPriority w:val="99"/>
    <w:semiHidden/>
    <w:rsid w:val="009857C4"/>
    <w:rPr>
      <w:rFonts w:cs="Times New Roman"/>
      <w:vertAlign w:val="superscript"/>
    </w:rPr>
  </w:style>
  <w:style w:type="paragraph" w:customStyle="1" w:styleId="Testodelblocco1">
    <w:name w:val="Testo del blocco1"/>
    <w:basedOn w:val="Normale"/>
    <w:uiPriority w:val="99"/>
    <w:rsid w:val="00E66939"/>
    <w:pPr>
      <w:suppressAutoHyphens/>
      <w:spacing w:after="0" w:line="240" w:lineRule="auto"/>
      <w:ind w:left="1985" w:right="707" w:hanging="851"/>
      <w:jc w:val="both"/>
    </w:pPr>
    <w:rPr>
      <w:rFonts w:ascii="Arial" w:hAnsi="Arial"/>
      <w:szCs w:val="20"/>
      <w:lang w:eastAsia="ar-SA"/>
    </w:rPr>
  </w:style>
  <w:style w:type="character" w:styleId="Enfasigrassetto">
    <w:name w:val="Strong"/>
    <w:uiPriority w:val="99"/>
    <w:qFormat/>
    <w:locked/>
    <w:rsid w:val="001A252C"/>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119958">
      <w:marLeft w:val="0"/>
      <w:marRight w:val="0"/>
      <w:marTop w:val="0"/>
      <w:marBottom w:val="0"/>
      <w:divBdr>
        <w:top w:val="none" w:sz="0" w:space="0" w:color="auto"/>
        <w:left w:val="none" w:sz="0" w:space="0" w:color="auto"/>
        <w:bottom w:val="none" w:sz="0" w:space="0" w:color="auto"/>
        <w:right w:val="none" w:sz="0" w:space="0" w:color="auto"/>
      </w:divBdr>
    </w:div>
    <w:div w:id="358119959">
      <w:marLeft w:val="0"/>
      <w:marRight w:val="0"/>
      <w:marTop w:val="0"/>
      <w:marBottom w:val="0"/>
      <w:divBdr>
        <w:top w:val="none" w:sz="0" w:space="0" w:color="auto"/>
        <w:left w:val="none" w:sz="0" w:space="0" w:color="auto"/>
        <w:bottom w:val="none" w:sz="0" w:space="0" w:color="auto"/>
        <w:right w:val="none" w:sz="0" w:space="0" w:color="auto"/>
      </w:divBdr>
    </w:div>
    <w:div w:id="358119960">
      <w:marLeft w:val="0"/>
      <w:marRight w:val="0"/>
      <w:marTop w:val="0"/>
      <w:marBottom w:val="0"/>
      <w:divBdr>
        <w:top w:val="none" w:sz="0" w:space="0" w:color="auto"/>
        <w:left w:val="none" w:sz="0" w:space="0" w:color="auto"/>
        <w:bottom w:val="none" w:sz="0" w:space="0" w:color="auto"/>
        <w:right w:val="none" w:sz="0" w:space="0" w:color="auto"/>
      </w:divBdr>
    </w:div>
    <w:div w:id="358119961">
      <w:marLeft w:val="0"/>
      <w:marRight w:val="0"/>
      <w:marTop w:val="0"/>
      <w:marBottom w:val="0"/>
      <w:divBdr>
        <w:top w:val="none" w:sz="0" w:space="0" w:color="auto"/>
        <w:left w:val="none" w:sz="0" w:space="0" w:color="auto"/>
        <w:bottom w:val="none" w:sz="0" w:space="0" w:color="auto"/>
        <w:right w:val="none" w:sz="0" w:space="0" w:color="auto"/>
      </w:divBdr>
    </w:div>
    <w:div w:id="358119962">
      <w:marLeft w:val="0"/>
      <w:marRight w:val="0"/>
      <w:marTop w:val="0"/>
      <w:marBottom w:val="0"/>
      <w:divBdr>
        <w:top w:val="none" w:sz="0" w:space="0" w:color="auto"/>
        <w:left w:val="none" w:sz="0" w:space="0" w:color="auto"/>
        <w:bottom w:val="none" w:sz="0" w:space="0" w:color="auto"/>
        <w:right w:val="none" w:sz="0" w:space="0" w:color="auto"/>
      </w:divBdr>
    </w:div>
    <w:div w:id="3581199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hyperlink" Target="http://www.dt.tesoro.it/it/attivita_istituzionali/partecipazioni_pubbliche/struttura_di_monitoraggio_riforma_partecipazioni_pubbliche/struttura_di_monitoraggio_partecipazioni_pubblich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D9096-44A2-4104-BCBE-68784A58A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5618</Words>
  <Characters>32027</Characters>
  <Application>Microsoft Office Word</Application>
  <DocSecurity>0</DocSecurity>
  <Lines>266</Lines>
  <Paragraphs>75</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37570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Fabio Perotti</dc:creator>
  <cp:lastModifiedBy>Tecnico2</cp:lastModifiedBy>
  <cp:revision>2</cp:revision>
  <cp:lastPrinted>2025-11-19T08:56:00Z</cp:lastPrinted>
  <dcterms:created xsi:type="dcterms:W3CDTF">2026-05-27T09:43:00Z</dcterms:created>
  <dcterms:modified xsi:type="dcterms:W3CDTF">2026-05-27T09:43:00Z</dcterms:modified>
</cp:coreProperties>
</file>